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B38" w:rsidRPr="00200A92" w:rsidRDefault="001A1B38" w:rsidP="004F2E7B">
      <w:pPr>
        <w:pStyle w:val="Heading1"/>
      </w:pPr>
      <w:bookmarkStart w:id="0" w:name="_GoBack"/>
      <w:bookmarkEnd w:id="0"/>
      <w:r w:rsidRPr="00200A92">
        <w:t>Sight Distance for Advisory Bicycle Lanes</w:t>
      </w:r>
    </w:p>
    <w:p w:rsidR="00817B1B" w:rsidRDefault="00817B1B" w:rsidP="00817B1B">
      <w:pPr>
        <w:pStyle w:val="Default"/>
      </w:pPr>
    </w:p>
    <w:p w:rsidR="00200A92" w:rsidRDefault="00200A92" w:rsidP="00817B1B">
      <w:pPr>
        <w:pStyle w:val="Default"/>
      </w:pPr>
    </w:p>
    <w:p w:rsidR="00200A92" w:rsidRDefault="00200A92" w:rsidP="00817B1B">
      <w:pPr>
        <w:pStyle w:val="Default"/>
      </w:pPr>
    </w:p>
    <w:p w:rsidR="00200A92" w:rsidRDefault="00200A92" w:rsidP="00817B1B">
      <w:pPr>
        <w:pStyle w:val="Default"/>
      </w:pPr>
    </w:p>
    <w:p w:rsidR="00817B1B" w:rsidRDefault="00817B1B" w:rsidP="00817B1B">
      <w:pPr>
        <w:pStyle w:val="Default"/>
        <w:rPr>
          <w:sz w:val="22"/>
          <w:szCs w:val="22"/>
        </w:rPr>
      </w:pPr>
      <w:r w:rsidRPr="00817B1B">
        <w:rPr>
          <w:b/>
        </w:rPr>
        <w:t>Michael Williams</w:t>
      </w:r>
      <w:r w:rsidRPr="00817B1B">
        <w:rPr>
          <w:b/>
          <w:bCs/>
          <w:sz w:val="22"/>
          <w:szCs w:val="22"/>
        </w:rPr>
        <w:t xml:space="preserve"> (Corresponding</w:t>
      </w:r>
      <w:r>
        <w:rPr>
          <w:b/>
          <w:bCs/>
          <w:sz w:val="22"/>
          <w:szCs w:val="22"/>
        </w:rPr>
        <w:t xml:space="preserve"> author) </w:t>
      </w:r>
    </w:p>
    <w:p w:rsidR="00817B1B" w:rsidRDefault="00817B1B" w:rsidP="00817B1B">
      <w:pPr>
        <w:pStyle w:val="Default"/>
        <w:rPr>
          <w:sz w:val="22"/>
          <w:szCs w:val="22"/>
        </w:rPr>
      </w:pPr>
      <w:r>
        <w:rPr>
          <w:sz w:val="22"/>
          <w:szCs w:val="22"/>
        </w:rPr>
        <w:t xml:space="preserve">Portland State University </w:t>
      </w:r>
    </w:p>
    <w:p w:rsidR="007C4956" w:rsidRDefault="007C4956" w:rsidP="00817B1B">
      <w:pPr>
        <w:pStyle w:val="Default"/>
        <w:rPr>
          <w:sz w:val="22"/>
          <w:szCs w:val="22"/>
        </w:rPr>
      </w:pPr>
      <w:r>
        <w:rPr>
          <w:sz w:val="22"/>
          <w:szCs w:val="22"/>
        </w:rPr>
        <w:t>Civil Engineering Department</w:t>
      </w:r>
    </w:p>
    <w:p w:rsidR="00817B1B" w:rsidRDefault="00956148" w:rsidP="00817B1B">
      <w:pPr>
        <w:pStyle w:val="Default"/>
        <w:rPr>
          <w:sz w:val="22"/>
          <w:szCs w:val="22"/>
        </w:rPr>
      </w:pPr>
      <w:r>
        <w:rPr>
          <w:sz w:val="22"/>
          <w:szCs w:val="22"/>
        </w:rPr>
        <w:t>6740 SW 13</w:t>
      </w:r>
      <w:r w:rsidRPr="00956148">
        <w:rPr>
          <w:sz w:val="22"/>
          <w:szCs w:val="22"/>
          <w:vertAlign w:val="superscript"/>
        </w:rPr>
        <w:t>th</w:t>
      </w:r>
      <w:r>
        <w:rPr>
          <w:sz w:val="22"/>
          <w:szCs w:val="22"/>
        </w:rPr>
        <w:t xml:space="preserve"> Avenue</w:t>
      </w:r>
    </w:p>
    <w:p w:rsidR="00817B1B" w:rsidRDefault="00956148" w:rsidP="00817B1B">
      <w:pPr>
        <w:pStyle w:val="Default"/>
        <w:rPr>
          <w:sz w:val="22"/>
          <w:szCs w:val="22"/>
        </w:rPr>
      </w:pPr>
      <w:r>
        <w:rPr>
          <w:sz w:val="22"/>
          <w:szCs w:val="22"/>
        </w:rPr>
        <w:t>Portland, OR 97219</w:t>
      </w:r>
      <w:r w:rsidR="00817B1B">
        <w:rPr>
          <w:sz w:val="22"/>
          <w:szCs w:val="22"/>
        </w:rPr>
        <w:t xml:space="preserve"> </w:t>
      </w:r>
    </w:p>
    <w:p w:rsidR="00817B1B" w:rsidRDefault="00817B1B" w:rsidP="00817B1B">
      <w:pPr>
        <w:pStyle w:val="Default"/>
        <w:rPr>
          <w:sz w:val="22"/>
          <w:szCs w:val="22"/>
        </w:rPr>
      </w:pPr>
      <w:r>
        <w:rPr>
          <w:sz w:val="22"/>
          <w:szCs w:val="22"/>
        </w:rPr>
        <w:t xml:space="preserve">Email: bikepedx@gmail.com </w:t>
      </w:r>
    </w:p>
    <w:p w:rsidR="00817B1B" w:rsidRDefault="00817B1B" w:rsidP="00817B1B">
      <w:pPr>
        <w:pStyle w:val="Default"/>
        <w:rPr>
          <w:sz w:val="22"/>
          <w:szCs w:val="22"/>
        </w:rPr>
      </w:pPr>
      <w:r>
        <w:rPr>
          <w:sz w:val="22"/>
          <w:szCs w:val="22"/>
        </w:rPr>
        <w:t xml:space="preserve">Phone: </w:t>
      </w:r>
      <w:r w:rsidR="00956148">
        <w:rPr>
          <w:sz w:val="22"/>
          <w:szCs w:val="22"/>
        </w:rPr>
        <w:t>530-859-3468</w:t>
      </w:r>
      <w:r>
        <w:rPr>
          <w:sz w:val="22"/>
          <w:szCs w:val="22"/>
        </w:rPr>
        <w:t xml:space="preserve"> </w:t>
      </w:r>
    </w:p>
    <w:p w:rsidR="00956148" w:rsidRDefault="00956148" w:rsidP="00200A92">
      <w:pPr>
        <w:pStyle w:val="Default"/>
      </w:pPr>
    </w:p>
    <w:p w:rsidR="0082144E" w:rsidRDefault="0082144E" w:rsidP="0082144E">
      <w:pPr>
        <w:pStyle w:val="Default"/>
      </w:pPr>
    </w:p>
    <w:p w:rsidR="00200A92" w:rsidRPr="00350FAD" w:rsidRDefault="00200A92" w:rsidP="00200A92">
      <w:pPr>
        <w:ind w:firstLine="0"/>
        <w:rPr>
          <w:rFonts w:cs="Calibri"/>
          <w:sz w:val="24"/>
        </w:rPr>
      </w:pPr>
      <w:r w:rsidRPr="00350FAD">
        <w:rPr>
          <w:rFonts w:cs="Calibri"/>
          <w:sz w:val="24"/>
        </w:rPr>
        <w:t xml:space="preserve">Word count:  </w:t>
      </w:r>
      <w:r>
        <w:rPr>
          <w:rFonts w:cs="Calibri"/>
          <w:sz w:val="24"/>
        </w:rPr>
        <w:t>3,7</w:t>
      </w:r>
      <w:r w:rsidR="00496907">
        <w:rPr>
          <w:rFonts w:cs="Calibri"/>
          <w:sz w:val="24"/>
        </w:rPr>
        <w:t>08</w:t>
      </w:r>
      <w:r w:rsidRPr="00350FAD">
        <w:rPr>
          <w:rFonts w:cs="Calibri"/>
          <w:sz w:val="24"/>
        </w:rPr>
        <w:t xml:space="preserve"> words text + </w:t>
      </w:r>
      <w:r>
        <w:rPr>
          <w:rFonts w:cs="Calibri"/>
          <w:sz w:val="24"/>
        </w:rPr>
        <w:t>3</w:t>
      </w:r>
      <w:r w:rsidRPr="00350FAD">
        <w:rPr>
          <w:rFonts w:cs="Calibri"/>
          <w:sz w:val="24"/>
        </w:rPr>
        <w:t xml:space="preserve"> tables/figures x 250 words (each) = </w:t>
      </w:r>
      <w:r>
        <w:rPr>
          <w:rFonts w:cs="Calibri"/>
          <w:sz w:val="24"/>
        </w:rPr>
        <w:t>4,</w:t>
      </w:r>
      <w:r w:rsidR="00496907">
        <w:rPr>
          <w:rFonts w:cs="Calibri"/>
          <w:sz w:val="24"/>
        </w:rPr>
        <w:t>458</w:t>
      </w:r>
      <w:r w:rsidRPr="00350FAD">
        <w:rPr>
          <w:rFonts w:cs="Calibri"/>
          <w:sz w:val="24"/>
        </w:rPr>
        <w:t xml:space="preserve"> words</w:t>
      </w: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200A92" w:rsidRDefault="00200A92" w:rsidP="0082144E">
      <w:pPr>
        <w:pStyle w:val="Default"/>
        <w:rPr>
          <w:sz w:val="22"/>
          <w:szCs w:val="22"/>
        </w:rPr>
      </w:pPr>
    </w:p>
    <w:p w:rsidR="00042EE2" w:rsidRPr="004F2E7B" w:rsidRDefault="00200A92" w:rsidP="004F2E7B">
      <w:pPr>
        <w:pStyle w:val="Default"/>
        <w:rPr>
          <w:sz w:val="22"/>
          <w:szCs w:val="22"/>
        </w:rPr>
      </w:pPr>
      <w:r>
        <w:rPr>
          <w:sz w:val="22"/>
          <w:szCs w:val="22"/>
        </w:rPr>
        <w:t>Submission Date:</w:t>
      </w:r>
      <w:r w:rsidR="0082144E">
        <w:rPr>
          <w:sz w:val="22"/>
          <w:szCs w:val="22"/>
        </w:rPr>
        <w:t xml:space="preserve"> </w:t>
      </w:r>
      <w:r w:rsidR="00496907">
        <w:rPr>
          <w:sz w:val="22"/>
          <w:szCs w:val="22"/>
        </w:rPr>
        <w:t>July 3</w:t>
      </w:r>
      <w:r w:rsidR="0082144E">
        <w:rPr>
          <w:sz w:val="22"/>
          <w:szCs w:val="22"/>
        </w:rPr>
        <w:t>1, 2017</w:t>
      </w:r>
      <w:r w:rsidR="00042EE2" w:rsidRPr="004F2E7B">
        <w:rPr>
          <w:sz w:val="22"/>
          <w:szCs w:val="22"/>
        </w:rPr>
        <w:br w:type="page"/>
      </w:r>
    </w:p>
    <w:p w:rsidR="00C476CE" w:rsidRDefault="00C476CE" w:rsidP="004F2E7B">
      <w:pPr>
        <w:pStyle w:val="Heading1"/>
      </w:pPr>
      <w:r>
        <w:lastRenderedPageBreak/>
        <w:t>Abstract</w:t>
      </w:r>
    </w:p>
    <w:p w:rsidR="00826280" w:rsidRDefault="00826280" w:rsidP="00CD7A91">
      <w:pPr>
        <w:pStyle w:val="NormalAfterSubhead"/>
      </w:pPr>
      <w:r>
        <w:t xml:space="preserve">An advisory bicycle lane is a roadway striping configuration which </w:t>
      </w:r>
      <w:r w:rsidR="00DA4CE7">
        <w:t>supports</w:t>
      </w:r>
      <w:r>
        <w:t xml:space="preserve"> two-way motor vehicle and two-way bicycle traffic using a central vehicle travel lane and “advisory” bicycle lanes on either side. The center lane is shared by motorists traveling in both directions. The bicycle lanes on either side are for travel in one direction only. Bicyclists </w:t>
      </w:r>
      <w:r w:rsidR="00DA4CE7">
        <w:t>have</w:t>
      </w:r>
      <w:r>
        <w:t xml:space="preserve"> preference in the bike lanes but motorists can encroach into the bike lanes, after yielding to cyclists, in order to bypass oncoming vehicles.</w:t>
      </w:r>
    </w:p>
    <w:p w:rsidR="00C476CE" w:rsidRDefault="00C476CE" w:rsidP="00CD7A91">
      <w:r>
        <w:t xml:space="preserve">Advisory bicycle lanes </w:t>
      </w:r>
      <w:r w:rsidR="00DA4CE7">
        <w:t xml:space="preserve">(ABLs) </w:t>
      </w:r>
      <w:r>
        <w:t xml:space="preserve">are a new and inexpensive treatment in North America which </w:t>
      </w:r>
      <w:r w:rsidR="00DA4CE7">
        <w:t>can provide</w:t>
      </w:r>
      <w:r>
        <w:t xml:space="preserve"> bicycle facilities on roads too narrow for standard bicycle lanes. Thousands of road</w:t>
      </w:r>
      <w:r w:rsidR="00A85C61">
        <w:t>-</w:t>
      </w:r>
      <w:r>
        <w:t xml:space="preserve">miles are candidates for ABLs. </w:t>
      </w:r>
      <w:r w:rsidR="00170876">
        <w:t xml:space="preserve">Despite </w:t>
      </w:r>
      <w:r w:rsidR="00A85C61">
        <w:t>widespread</w:t>
      </w:r>
      <w:r w:rsidR="00170876">
        <w:t xml:space="preserve"> potential</w:t>
      </w:r>
      <w:r w:rsidR="00A85C61">
        <w:t>,</w:t>
      </w:r>
      <w:r w:rsidR="00170876">
        <w:t xml:space="preserve"> this facility has seen little study in North America.</w:t>
      </w:r>
      <w:r w:rsidR="00475AAD">
        <w:t xml:space="preserve"> </w:t>
      </w:r>
    </w:p>
    <w:p w:rsidR="00C476CE" w:rsidRDefault="00DA4CE7" w:rsidP="00CD7A91">
      <w:r>
        <w:t>A</w:t>
      </w:r>
      <w:r w:rsidR="00C476CE">
        <w:t xml:space="preserve"> notable feature of ABLs is the single lane </w:t>
      </w:r>
      <w:r>
        <w:t xml:space="preserve">used </w:t>
      </w:r>
      <w:r w:rsidR="00C476CE">
        <w:t xml:space="preserve">to support two-way vehicular travel. This requires sufficient sight distance for motorists to detect oncoming traffic and either maneuver to </w:t>
      </w:r>
      <w:r w:rsidR="00D97818">
        <w:t>by</w:t>
      </w:r>
      <w:r w:rsidR="00C476CE">
        <w:t>pass the oncoming traffic or come to a full stop.</w:t>
      </w:r>
    </w:p>
    <w:p w:rsidR="00200A92" w:rsidRDefault="00DA4CE7" w:rsidP="00CD7A91">
      <w:r>
        <w:t>After examining various sight distance criteria, t</w:t>
      </w:r>
      <w:r w:rsidR="00170876">
        <w:t>his paper</w:t>
      </w:r>
      <w:r w:rsidR="00F457D9">
        <w:t xml:space="preserve"> concludes</w:t>
      </w:r>
      <w:r w:rsidR="00042EE2">
        <w:t xml:space="preserve"> that twice the stopping sight distance, called the collision sight distance, is </w:t>
      </w:r>
      <w:r w:rsidR="00D86F13">
        <w:t>a minimal</w:t>
      </w:r>
      <w:r w:rsidR="00042EE2">
        <w:t xml:space="preserve"> sight distance for </w:t>
      </w:r>
      <w:r>
        <w:t xml:space="preserve">an </w:t>
      </w:r>
      <w:r w:rsidR="00042EE2">
        <w:t>ABL</w:t>
      </w:r>
      <w:r w:rsidR="007E4BD2">
        <w:t>.</w:t>
      </w:r>
      <w:r w:rsidR="00D97818">
        <w:t xml:space="preserve"> </w:t>
      </w:r>
      <w:r w:rsidR="00D86F13">
        <w:t xml:space="preserve">More preferable is a sight distance that supports </w:t>
      </w:r>
      <w:r w:rsidR="008263E6">
        <w:t>a sequence comprising detection of oncoming vehicles, scan of the bike lane and a maneuver to bypass oncoming traffic. This sight distance does not exist in the literature. Further research is needed to develop this sight distance</w:t>
      </w:r>
      <w:r w:rsidR="00A85C61">
        <w:t xml:space="preserve"> and other design guidance for ABLs</w:t>
      </w:r>
      <w:r w:rsidR="00187C82">
        <w:t>.</w:t>
      </w:r>
    </w:p>
    <w:p w:rsidR="00200A92" w:rsidRDefault="00200A92" w:rsidP="00CD7A91"/>
    <w:p w:rsidR="00200A92" w:rsidRDefault="00200A92" w:rsidP="00CD7A91"/>
    <w:p w:rsidR="00200A92" w:rsidRDefault="00200A92" w:rsidP="00CD7A91"/>
    <w:p w:rsidR="00200A92" w:rsidRDefault="00200A92" w:rsidP="00CD7A91"/>
    <w:p w:rsidR="00200A92" w:rsidRDefault="00200A92" w:rsidP="00CD7A91"/>
    <w:p w:rsidR="00200A92" w:rsidRDefault="00200A92" w:rsidP="00CD7A91"/>
    <w:p w:rsidR="00826280" w:rsidRDefault="00200A92" w:rsidP="00200A92">
      <w:pPr>
        <w:ind w:firstLine="0"/>
      </w:pPr>
      <w:r>
        <w:t>Keywords: Advisory Bike Lane, Advisory Bicycle Lane, Sight Distance</w:t>
      </w:r>
      <w:r w:rsidR="00826280">
        <w:br w:type="page"/>
      </w:r>
    </w:p>
    <w:p w:rsidR="00055F4C" w:rsidRPr="004F2E7B" w:rsidRDefault="005F131E" w:rsidP="004F2E7B">
      <w:pPr>
        <w:pStyle w:val="Heading1"/>
      </w:pPr>
      <w:r w:rsidRPr="004F2E7B">
        <w:lastRenderedPageBreak/>
        <w:t>Introduction</w:t>
      </w:r>
      <w:r w:rsidR="00FF1B36" w:rsidRPr="004F2E7B">
        <w:t xml:space="preserve"> </w:t>
      </w:r>
    </w:p>
    <w:p w:rsidR="007B2C7B" w:rsidRDefault="00B45A2C" w:rsidP="00CD7A91">
      <w:pPr>
        <w:pStyle w:val="NormalAfterSubhead"/>
      </w:pPr>
      <w:r>
        <w:t xml:space="preserve">An advisory bicycle lane (ABL) is a roadway striping configuration which provides for two-way motor vehicle and two-way bicycle traffic using a central vehicle travel lane and “advisory” bicycle lanes on either side. The center lane is dedicated to, and shared by, motorists traveling in both directions. The bicycle lanes on either side are for travel in one direction only. </w:t>
      </w:r>
      <w:r w:rsidR="006D7B08">
        <w:t>Bic</w:t>
      </w:r>
      <w:r>
        <w:t>yclists are given preference in the bike lanes but motorists can encroach into the bike lanes, after yielding to cyclists, in order to bypass oncoming vehicles.</w:t>
      </w:r>
      <w:r w:rsidR="006D7B08">
        <w:t xml:space="preserve"> </w:t>
      </w:r>
    </w:p>
    <w:p w:rsidR="007B2C7B" w:rsidRDefault="00C17689" w:rsidP="00CD7A91">
      <w:r>
        <w:rPr>
          <w:noProof/>
        </w:rPr>
        <mc:AlternateContent>
          <mc:Choice Requires="wps">
            <w:drawing>
              <wp:anchor distT="45720" distB="45720" distL="114300" distR="114300" simplePos="0" relativeHeight="251666432" behindDoc="0" locked="0" layoutInCell="1" allowOverlap="1" wp14:anchorId="2CFD9FA0" wp14:editId="18E18D14">
                <wp:simplePos x="0" y="0"/>
                <wp:positionH relativeFrom="margin">
                  <wp:posOffset>2876550</wp:posOffset>
                </wp:positionH>
                <wp:positionV relativeFrom="paragraph">
                  <wp:posOffset>659072</wp:posOffset>
                </wp:positionV>
                <wp:extent cx="2809875" cy="23622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62200"/>
                        </a:xfrm>
                        <a:prstGeom prst="rect">
                          <a:avLst/>
                        </a:prstGeom>
                        <a:solidFill>
                          <a:srgbClr val="FFFFFF"/>
                        </a:solidFill>
                        <a:ln w="9525">
                          <a:noFill/>
                          <a:miter lim="800000"/>
                          <a:headEnd/>
                          <a:tailEnd/>
                        </a:ln>
                      </wps:spPr>
                      <wps:txbx>
                        <w:txbxContent>
                          <w:p w:rsidR="00200095" w:rsidRDefault="00200095" w:rsidP="00C17689">
                            <w:pPr>
                              <w:ind w:firstLine="0"/>
                            </w:pPr>
                            <w:r w:rsidRPr="00170876">
                              <w:rPr>
                                <w:noProof/>
                              </w:rPr>
                              <w:drawing>
                                <wp:inline distT="0" distB="0" distL="0" distR="0" wp14:anchorId="4AB3E20D" wp14:editId="71F3EBCE">
                                  <wp:extent cx="2717755" cy="158117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842" cy="1599844"/>
                                          </a:xfrm>
                                          <a:prstGeom prst="rect">
                                            <a:avLst/>
                                          </a:prstGeom>
                                          <a:noFill/>
                                          <a:ln>
                                            <a:noFill/>
                                          </a:ln>
                                        </pic:spPr>
                                      </pic:pic>
                                    </a:graphicData>
                                  </a:graphic>
                                </wp:inline>
                              </w:drawing>
                            </w:r>
                          </w:p>
                          <w:p w:rsidR="00C17689" w:rsidRDefault="00C17689" w:rsidP="00200A92">
                            <w:pPr>
                              <w:pStyle w:val="Caption"/>
                            </w:pPr>
                          </w:p>
                          <w:p w:rsidR="00200095" w:rsidRPr="00200A92" w:rsidRDefault="00200095" w:rsidP="00200A92">
                            <w:pPr>
                              <w:pStyle w:val="Caption"/>
                            </w:pPr>
                            <w:r w:rsidRPr="00C17689">
                              <w:t xml:space="preserve">FIGURE </w:t>
                            </w:r>
                            <w:r w:rsidR="002F0460">
                              <w:fldChar w:fldCharType="begin"/>
                            </w:r>
                            <w:r w:rsidR="002F0460">
                              <w:instrText xml:space="preserve"> SEQ Figure \* ARABIC </w:instrText>
                            </w:r>
                            <w:r w:rsidR="002F0460">
                              <w:fldChar w:fldCharType="separate"/>
                            </w:r>
                            <w:r w:rsidRPr="00C17689">
                              <w:rPr>
                                <w:noProof/>
                              </w:rPr>
                              <w:t>2</w:t>
                            </w:r>
                            <w:r w:rsidR="002F0460">
                              <w:rPr>
                                <w:noProof/>
                              </w:rPr>
                              <w:fldChar w:fldCharType="end"/>
                            </w:r>
                            <w:r w:rsidRPr="00C17689">
                              <w:t xml:space="preserve"> </w:t>
                            </w:r>
                            <w:r w:rsidR="00C17689">
                              <w:t xml:space="preserve"> </w:t>
                            </w:r>
                            <w:r w:rsidRPr="00200A92">
                              <w:t>When two motor vehicles meet, motorists may need to encroach into the advisory shoulder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D9FA0" id="_x0000_t202" coordsize="21600,21600" o:spt="202" path="m,l,21600r21600,l21600,xe">
                <v:stroke joinstyle="miter"/>
                <v:path gradientshapeok="t" o:connecttype="rect"/>
              </v:shapetype>
              <v:shape id="Text Box 2" o:spid="_x0000_s1026" type="#_x0000_t202" style="position:absolute;left:0;text-align:left;margin-left:226.5pt;margin-top:51.9pt;width:221.25pt;height:18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" stroked="f">
                <v:textbox>
                  <w:txbxContent>
                    <w:p w:rsidR="00200095" w:rsidRDefault="00200095" w:rsidP="00C17689">
                      <w:pPr>
                        <w:ind w:firstLine="0"/>
                      </w:pPr>
                      <w:r w:rsidRPr="00170876">
                        <w:rPr>
                          <w:noProof/>
                        </w:rPr>
                        <w:drawing>
                          <wp:inline distT="0" distB="0" distL="0" distR="0" wp14:anchorId="4AB3E20D" wp14:editId="71F3EBCE">
                            <wp:extent cx="2717755" cy="158117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842" cy="1599844"/>
                                    </a:xfrm>
                                    <a:prstGeom prst="rect">
                                      <a:avLst/>
                                    </a:prstGeom>
                                    <a:noFill/>
                                    <a:ln>
                                      <a:noFill/>
                                    </a:ln>
                                  </pic:spPr>
                                </pic:pic>
                              </a:graphicData>
                            </a:graphic>
                          </wp:inline>
                        </w:drawing>
                      </w:r>
                    </w:p>
                    <w:p w:rsidR="00C17689" w:rsidRDefault="00C17689" w:rsidP="00200A92">
                      <w:pPr>
                        <w:pStyle w:val="Caption"/>
                      </w:pPr>
                    </w:p>
                    <w:p w:rsidR="00200095" w:rsidRPr="00200A92" w:rsidRDefault="00200095" w:rsidP="00200A92">
                      <w:pPr>
                        <w:pStyle w:val="Caption"/>
                      </w:pPr>
                      <w:r w:rsidRPr="00C17689">
                        <w:t xml:space="preserve">FIGURE </w:t>
                      </w:r>
                      <w:fldSimple w:instr=" SEQ Figure \* ARABIC ">
                        <w:r w:rsidRPr="00C17689">
                          <w:rPr>
                            <w:noProof/>
                          </w:rPr>
                          <w:t>2</w:t>
                        </w:r>
                      </w:fldSimple>
                      <w:r w:rsidRPr="00C17689">
                        <w:t xml:space="preserve"> </w:t>
                      </w:r>
                      <w:r w:rsidR="00C17689">
                        <w:t xml:space="preserve"> </w:t>
                      </w:r>
                      <w:r w:rsidRPr="00200A92">
                        <w:t>When two motor vehicles meet, motorists may need to encroach into the advisory shoulder space.</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FEDE47A" wp14:editId="0462D63E">
                <wp:simplePos x="0" y="0"/>
                <wp:positionH relativeFrom="margin">
                  <wp:align>left</wp:align>
                </wp:positionH>
                <wp:positionV relativeFrom="paragraph">
                  <wp:posOffset>660400</wp:posOffset>
                </wp:positionV>
                <wp:extent cx="2771775" cy="23622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362200"/>
                        </a:xfrm>
                        <a:prstGeom prst="rect">
                          <a:avLst/>
                        </a:prstGeom>
                        <a:solidFill>
                          <a:srgbClr val="FFFFFF"/>
                        </a:solidFill>
                        <a:ln w="9525">
                          <a:noFill/>
                          <a:miter lim="800000"/>
                          <a:headEnd/>
                          <a:tailEnd/>
                        </a:ln>
                      </wps:spPr>
                      <wps:txbx>
                        <w:txbxContent>
                          <w:p w:rsidR="00200095" w:rsidRDefault="00200095" w:rsidP="00C17689">
                            <w:pPr>
                              <w:ind w:firstLine="0"/>
                            </w:pPr>
                            <w:r w:rsidRPr="00170876">
                              <w:rPr>
                                <w:noProof/>
                              </w:rPr>
                              <w:drawing>
                                <wp:inline distT="0" distB="0" distL="0" distR="0" wp14:anchorId="2876171F" wp14:editId="5561CFD6">
                                  <wp:extent cx="2839048" cy="1572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048" cy="1572895"/>
                                          </a:xfrm>
                                          <a:prstGeom prst="rect">
                                            <a:avLst/>
                                          </a:prstGeom>
                                          <a:noFill/>
                                          <a:ln>
                                            <a:noFill/>
                                          </a:ln>
                                        </pic:spPr>
                                      </pic:pic>
                                    </a:graphicData>
                                  </a:graphic>
                                </wp:inline>
                              </w:drawing>
                            </w:r>
                          </w:p>
                          <w:p w:rsidR="00C17689" w:rsidRPr="00C17689" w:rsidRDefault="00C17689" w:rsidP="00200A92">
                            <w:pPr>
                              <w:pStyle w:val="Caption"/>
                            </w:pPr>
                          </w:p>
                          <w:p w:rsidR="00200095" w:rsidRPr="00C17689" w:rsidRDefault="00200095" w:rsidP="00200A92">
                            <w:pPr>
                              <w:pStyle w:val="Caption"/>
                            </w:pPr>
                            <w:r w:rsidRPr="00C17689">
                              <w:t xml:space="preserve">FIGURE </w:t>
                            </w:r>
                            <w:r w:rsidR="002F0460">
                              <w:fldChar w:fldCharType="begin"/>
                            </w:r>
                            <w:r w:rsidR="002F0460">
                              <w:instrText xml:space="preserve"> SEQ Figure \* ARABIC </w:instrText>
                            </w:r>
                            <w:r w:rsidR="002F0460">
                              <w:fldChar w:fldCharType="separate"/>
                            </w:r>
                            <w:r w:rsidRPr="00C17689">
                              <w:t>1</w:t>
                            </w:r>
                            <w:r w:rsidR="002F0460">
                              <w:fldChar w:fldCharType="end"/>
                            </w:r>
                            <w:r w:rsidRPr="00C17689">
                              <w:t xml:space="preserve"> </w:t>
                            </w:r>
                            <w:r w:rsidR="00C17689">
                              <w:t xml:space="preserve"> </w:t>
                            </w:r>
                            <w:r w:rsidRPr="00C17689">
                              <w:t>Motorists travel in the two-way center travel lane. When passing a bicyclist, no lane change is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DE47A" id="_x0000_s1027" type="#_x0000_t202" style="position:absolute;left:0;text-align:left;margin-left:0;margin-top:52pt;width:218.25pt;height:18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A+IwIAACQEAAAOAAAAZHJzL2Uyb0RvYy54bWysU9tu2zAMfR+wfxD0vjjxkqY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" stroked="f">
                <v:textbox>
                  <w:txbxContent>
                    <w:p w:rsidR="00200095" w:rsidRDefault="00200095" w:rsidP="00C17689">
                      <w:pPr>
                        <w:ind w:firstLine="0"/>
                      </w:pPr>
                      <w:r w:rsidRPr="00170876">
                        <w:rPr>
                          <w:noProof/>
                        </w:rPr>
                        <w:drawing>
                          <wp:inline distT="0" distB="0" distL="0" distR="0" wp14:anchorId="2876171F" wp14:editId="5561CFD6">
                            <wp:extent cx="2839048" cy="1572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9048" cy="1572895"/>
                                    </a:xfrm>
                                    <a:prstGeom prst="rect">
                                      <a:avLst/>
                                    </a:prstGeom>
                                    <a:noFill/>
                                    <a:ln>
                                      <a:noFill/>
                                    </a:ln>
                                  </pic:spPr>
                                </pic:pic>
                              </a:graphicData>
                            </a:graphic>
                          </wp:inline>
                        </w:drawing>
                      </w:r>
                    </w:p>
                    <w:p w:rsidR="00C17689" w:rsidRPr="00C17689" w:rsidRDefault="00C17689" w:rsidP="00200A92">
                      <w:pPr>
                        <w:pStyle w:val="Caption"/>
                      </w:pPr>
                    </w:p>
                    <w:p w:rsidR="00200095" w:rsidRPr="00C17689" w:rsidRDefault="00200095" w:rsidP="00200A92">
                      <w:pPr>
                        <w:pStyle w:val="Caption"/>
                      </w:pPr>
                      <w:r w:rsidRPr="00C17689">
                        <w:t xml:space="preserve">FIGURE </w:t>
                      </w:r>
                      <w:fldSimple w:instr=" SEQ Figure \* ARABIC ">
                        <w:r w:rsidRPr="00C17689">
                          <w:t>1</w:t>
                        </w:r>
                      </w:fldSimple>
                      <w:r w:rsidRPr="00C17689">
                        <w:t xml:space="preserve"> </w:t>
                      </w:r>
                      <w:r w:rsidR="00C17689">
                        <w:t xml:space="preserve"> </w:t>
                      </w:r>
                      <w:r w:rsidRPr="00C17689">
                        <w:t>Motorists travel in the two-way center travel lane. When passing a bicyclist, no lane change is necessary.</w:t>
                      </w:r>
                    </w:p>
                  </w:txbxContent>
                </v:textbox>
                <w10:wrap type="square" anchorx="margin"/>
              </v:shape>
            </w:pict>
          </mc:Fallback>
        </mc:AlternateContent>
      </w:r>
      <w:r w:rsidR="007B2C7B">
        <w:t xml:space="preserve">Operation of an ABL-equipped </w:t>
      </w:r>
      <w:r w:rsidR="00D05C9E">
        <w:t>roadway is demonstrated in the f</w:t>
      </w:r>
      <w:r w:rsidR="007B2C7B">
        <w:t xml:space="preserve">igures below courtesy of the FHWA Small Town and Rural Multimodal Networks Guide </w:t>
      </w:r>
      <w:r w:rsidR="007B2C7B" w:rsidRPr="00BE043C">
        <w:rPr>
          <w:i/>
        </w:rPr>
        <w:t>(1)</w:t>
      </w:r>
      <w:r w:rsidR="007B2C7B">
        <w:t xml:space="preserve">, in which </w:t>
      </w:r>
      <w:r w:rsidR="0097781B">
        <w:t>the bicycle lanes are called the advisory shoulder space.</w:t>
      </w:r>
    </w:p>
    <w:p w:rsidR="00B10DF1" w:rsidRDefault="00B10DF1" w:rsidP="00CD7A91"/>
    <w:p w:rsidR="001A1B38" w:rsidRDefault="001A1B38" w:rsidP="00CD7A91">
      <w:r>
        <w:t xml:space="preserve">An ABL-equipped roadway has no center line and differentiates the center lane from the bicycle lanes with broken lines rather than the solid line used for standard bicycle lanes. The broken line indicates a permissive condition allowing motor vehicles to move into the bicycle lanes after yielding to any bicyclists. A variety of treatments </w:t>
      </w:r>
      <w:r w:rsidR="00F457D9">
        <w:t>are possible</w:t>
      </w:r>
      <w:r>
        <w:t xml:space="preserve"> at the </w:t>
      </w:r>
      <w:r w:rsidR="00F457D9">
        <w:t xml:space="preserve">outside </w:t>
      </w:r>
      <w:r>
        <w:t>edge of the bicycle lane</w:t>
      </w:r>
      <w:r w:rsidR="004B49B2">
        <w:t>, e.g.</w:t>
      </w:r>
      <w:r>
        <w:t xml:space="preserve"> edge line, </w:t>
      </w:r>
      <w:r w:rsidR="004B49B2">
        <w:t xml:space="preserve">unmarked </w:t>
      </w:r>
      <w:r>
        <w:t xml:space="preserve">edge of pavement, or </w:t>
      </w:r>
      <w:r w:rsidR="004B49B2">
        <w:t>an on-street parking lane.</w:t>
      </w:r>
      <w:r w:rsidR="005F131E">
        <w:t xml:space="preserve"> Current North American installations are dominated by five foot wide bike lanes and center travel lane widths ranging from nine feet to twenty-two feet </w:t>
      </w:r>
      <w:r w:rsidR="008263E6">
        <w:rPr>
          <w:i/>
        </w:rPr>
        <w:t>(2)</w:t>
      </w:r>
      <w:r w:rsidR="005F131E">
        <w:t xml:space="preserve">. On roads </w:t>
      </w:r>
      <w:r w:rsidR="001A7A1C">
        <w:t>lacking</w:t>
      </w:r>
      <w:r w:rsidR="005F131E">
        <w:t xml:space="preserve"> sidewalks, the bike lanes </w:t>
      </w:r>
      <w:r w:rsidR="00D05C9E">
        <w:t>may</w:t>
      </w:r>
      <w:r w:rsidR="001A7A1C">
        <w:t xml:space="preserve"> serve</w:t>
      </w:r>
      <w:r w:rsidR="005F131E">
        <w:t xml:space="preserve"> </w:t>
      </w:r>
      <w:r w:rsidR="001A7A1C">
        <w:t>as</w:t>
      </w:r>
      <w:r w:rsidR="005F131E">
        <w:t xml:space="preserve"> pedestrian</w:t>
      </w:r>
      <w:r w:rsidR="001A7A1C">
        <w:t xml:space="preserve"> facilities. </w:t>
      </w:r>
    </w:p>
    <w:p w:rsidR="00C74148" w:rsidRDefault="00C74148" w:rsidP="00CD7A91">
      <w:r>
        <w:t>According to the FHWA Small Town and Rural Multimodal Networks Guide</w:t>
      </w:r>
      <w:r w:rsidR="00BE043C">
        <w:t xml:space="preserve"> </w:t>
      </w:r>
      <w:r w:rsidR="00BE043C" w:rsidRPr="00BE043C">
        <w:rPr>
          <w:i/>
        </w:rPr>
        <w:t>(1)</w:t>
      </w:r>
      <w:r w:rsidR="00170876">
        <w:t xml:space="preserve">, </w:t>
      </w:r>
      <w:r>
        <w:t>ABLs are appropriate for roads with posted speed limits of 35 MPH or less and with volumes of less than 6,000 ADT.</w:t>
      </w:r>
    </w:p>
    <w:p w:rsidR="006D7B08" w:rsidRDefault="006D7B08" w:rsidP="00CD7A91">
      <w:r>
        <w:t xml:space="preserve">ABLs have the potential to </w:t>
      </w:r>
      <w:r w:rsidR="00D05C9E">
        <w:t xml:space="preserve">inexpensively </w:t>
      </w:r>
      <w:r>
        <w:t xml:space="preserve">provide thousands of miles of pedestrian and bicycle facilities. </w:t>
      </w:r>
      <w:r w:rsidR="004F1D16">
        <w:t>R</w:t>
      </w:r>
      <w:r>
        <w:t>ural roads with little chance of widening to support bicycle or pedestrian facilities are candidates. Urban roads on which removal of on-street parking is considered infeasible</w:t>
      </w:r>
      <w:r w:rsidR="004F1D16">
        <w:t xml:space="preserve"> to allow installation of dedicated bicycle lanes</w:t>
      </w:r>
      <w:r>
        <w:t xml:space="preserve"> are candidates. Legacy roads of substandard width are candidates. Any two-way roadway which is currently too narrow for </w:t>
      </w:r>
      <w:r w:rsidR="004F1D16">
        <w:t>dedicated</w:t>
      </w:r>
      <w:r>
        <w:t xml:space="preserve"> </w:t>
      </w:r>
      <w:r w:rsidR="004F1D16">
        <w:t>bicycle</w:t>
      </w:r>
      <w:r>
        <w:t xml:space="preserve"> lanes </w:t>
      </w:r>
      <w:r w:rsidR="00D05C9E">
        <w:t>may be</w:t>
      </w:r>
      <w:r>
        <w:t xml:space="preserve"> a candidate for an ABL treatment. </w:t>
      </w:r>
    </w:p>
    <w:p w:rsidR="006D7B08" w:rsidRDefault="006D7B08" w:rsidP="00CD7A91">
      <w:r>
        <w:t xml:space="preserve">ABLs are </w:t>
      </w:r>
      <w:r w:rsidR="004F1D16">
        <w:t>popular</w:t>
      </w:r>
      <w:r>
        <w:t xml:space="preserve"> in other countries. The Netherlands have </w:t>
      </w:r>
      <w:r w:rsidR="00200A92">
        <w:t>over a thousand</w:t>
      </w:r>
      <w:r>
        <w:t xml:space="preserve"> kilometers of ABLs in their country</w:t>
      </w:r>
      <w:r w:rsidR="00BE043C">
        <w:t xml:space="preserve"> </w:t>
      </w:r>
      <w:r w:rsidR="00BE043C" w:rsidRPr="00BE043C">
        <w:rPr>
          <w:i/>
        </w:rPr>
        <w:t>(</w:t>
      </w:r>
      <w:r w:rsidR="008263E6">
        <w:rPr>
          <w:i/>
        </w:rPr>
        <w:t>3</w:t>
      </w:r>
      <w:r w:rsidR="00BE043C" w:rsidRPr="00BE043C">
        <w:rPr>
          <w:i/>
        </w:rPr>
        <w:t>)</w:t>
      </w:r>
      <w:r>
        <w:t xml:space="preserve">. They have found them to be safe and attractive to cyclists. </w:t>
      </w:r>
    </w:p>
    <w:p w:rsidR="00FF1B36" w:rsidRDefault="004B49B2" w:rsidP="004F2E7B">
      <w:pPr>
        <w:pStyle w:val="Heading1"/>
      </w:pPr>
      <w:r>
        <w:t>Advisory Bicycle Lanes</w:t>
      </w:r>
      <w:r w:rsidR="00472019">
        <w:t xml:space="preserve"> in North America</w:t>
      </w:r>
    </w:p>
    <w:p w:rsidR="00A33F02" w:rsidRDefault="006D7B08" w:rsidP="00CD7A91">
      <w:pPr>
        <w:pStyle w:val="NormalAfterSubhead"/>
      </w:pPr>
      <w:r>
        <w:t xml:space="preserve">ABLs are being implemented in North America. </w:t>
      </w:r>
      <w:r w:rsidR="004F1D16">
        <w:t>The first ABL was installed in 2011</w:t>
      </w:r>
      <w:r w:rsidR="006A0DE5">
        <w:t xml:space="preserve"> in Minneapolis, MN</w:t>
      </w:r>
      <w:r w:rsidR="004F1D16">
        <w:t>. Twelve</w:t>
      </w:r>
      <w:r>
        <w:t xml:space="preserve"> installations were known as of </w:t>
      </w:r>
      <w:r w:rsidR="004F1D16">
        <w:t>June</w:t>
      </w:r>
      <w:r>
        <w:t xml:space="preserve">, 2017 with eleven in the United States and </w:t>
      </w:r>
      <w:r w:rsidR="004F1D16">
        <w:t>one</w:t>
      </w:r>
      <w:r>
        <w:t xml:space="preserve"> in Canada. More facilities are in the design stage. Given the thousands of </w:t>
      </w:r>
      <w:r w:rsidR="007C37D8">
        <w:t>road-</w:t>
      </w:r>
      <w:r>
        <w:t xml:space="preserve">miles which are potential </w:t>
      </w:r>
      <w:r>
        <w:lastRenderedPageBreak/>
        <w:t xml:space="preserve">candidates for an ABL installation, the ABL’s ability to </w:t>
      </w:r>
      <w:r w:rsidR="004B49B2">
        <w:t xml:space="preserve">inexpensively </w:t>
      </w:r>
      <w:r>
        <w:t xml:space="preserve">provide bicycle facilities, and its ability to provide bicycle facilities on roads with too little width for </w:t>
      </w:r>
      <w:r w:rsidR="004F1D16">
        <w:t>dedicated bicycle</w:t>
      </w:r>
      <w:r>
        <w:t xml:space="preserve"> lanes</w:t>
      </w:r>
      <w:r w:rsidR="004F1D16">
        <w:t>,</w:t>
      </w:r>
      <w:r>
        <w:t xml:space="preserve"> </w:t>
      </w:r>
      <w:r w:rsidR="004B49B2">
        <w:t xml:space="preserve">continued </w:t>
      </w:r>
      <w:r w:rsidR="004F1D16">
        <w:t>expansion of its</w:t>
      </w:r>
      <w:r>
        <w:t xml:space="preserve"> use seems likely. </w:t>
      </w:r>
    </w:p>
    <w:p w:rsidR="00187C82" w:rsidRPr="004F2E7B" w:rsidRDefault="00187C82" w:rsidP="004F2E7B">
      <w:pPr>
        <w:pStyle w:val="Heading1"/>
      </w:pPr>
      <w:r w:rsidRPr="004F2E7B">
        <w:t>LITERATURE REVIEW</w:t>
      </w:r>
    </w:p>
    <w:p w:rsidR="00187C82" w:rsidRDefault="00D05C9E" w:rsidP="00CD7A91">
      <w:pPr>
        <w:pStyle w:val="NormalAfterSubhead"/>
      </w:pPr>
      <w:r>
        <w:t>Despite their potential, the use of ABLs in North America has received little examination.</w:t>
      </w:r>
      <w:r w:rsidR="00A33F02">
        <w:t xml:space="preserve"> </w:t>
      </w:r>
      <w:r w:rsidR="00FC18F7">
        <w:t xml:space="preserve">This is primarily due to the small number of installations and their recency. </w:t>
      </w:r>
      <w:r w:rsidR="00A33F02">
        <w:t xml:space="preserve">The only </w:t>
      </w:r>
      <w:r w:rsidR="00FC18F7">
        <w:t xml:space="preserve">published </w:t>
      </w:r>
      <w:r w:rsidR="00A33F02">
        <w:t xml:space="preserve">North American literature found regarding this facility are a high-level design guide published by the FHWA for the rural context </w:t>
      </w:r>
      <w:r w:rsidR="00A33F02" w:rsidRPr="0052058F">
        <w:rPr>
          <w:i/>
        </w:rPr>
        <w:t>(1)</w:t>
      </w:r>
      <w:r w:rsidR="00A33F02">
        <w:t xml:space="preserve"> and a </w:t>
      </w:r>
      <w:r w:rsidR="005A1C96">
        <w:t>white paper on</w:t>
      </w:r>
      <w:r w:rsidR="00A33F02">
        <w:t xml:space="preserve"> existing ABL installations in North America </w:t>
      </w:r>
      <w:r w:rsidR="008263E6" w:rsidRPr="0052058F">
        <w:rPr>
          <w:i/>
        </w:rPr>
        <w:t>(2)</w:t>
      </w:r>
      <w:r w:rsidR="00A33F02">
        <w:t xml:space="preserve">. </w:t>
      </w:r>
    </w:p>
    <w:p w:rsidR="006D7B08" w:rsidRDefault="005A1C96" w:rsidP="00CD7A91">
      <w:r>
        <w:t>Four</w:t>
      </w:r>
      <w:r w:rsidR="00A33F02">
        <w:t xml:space="preserve"> </w:t>
      </w:r>
      <w:r w:rsidR="003B29E0">
        <w:t xml:space="preserve">of the ten </w:t>
      </w:r>
      <w:r w:rsidR="00A33F02">
        <w:t>communities</w:t>
      </w:r>
      <w:r>
        <w:t xml:space="preserve"> interviewed for the white paper </w:t>
      </w:r>
      <w:r w:rsidR="008263E6">
        <w:rPr>
          <w:i/>
        </w:rPr>
        <w:t>(2)</w:t>
      </w:r>
      <w:r>
        <w:t xml:space="preserve"> had conducted studies of their installations. Those communities were:</w:t>
      </w:r>
      <w:r w:rsidR="00187C82">
        <w:t xml:space="preserve"> Boulder, CO</w:t>
      </w:r>
      <w:r>
        <w:t>, Hanover, NH, Minneapolis, MN</w:t>
      </w:r>
      <w:r w:rsidR="003B29E0">
        <w:t>,</w:t>
      </w:r>
      <w:r w:rsidR="00187C82">
        <w:t xml:space="preserve"> and Edina, MN</w:t>
      </w:r>
      <w:r>
        <w:t xml:space="preserve">. These studies </w:t>
      </w:r>
      <w:r w:rsidR="00A33F02">
        <w:t>were</w:t>
      </w:r>
      <w:r w:rsidR="003B29E0">
        <w:t>, of necessity,</w:t>
      </w:r>
      <w:r w:rsidR="00A33F02">
        <w:t xml:space="preserve"> </w:t>
      </w:r>
      <w:r w:rsidR="00187C82">
        <w:t>based on limited data</w:t>
      </w:r>
      <w:r w:rsidR="003B29E0">
        <w:t>.</w:t>
      </w:r>
      <w:r w:rsidR="00FC18F7">
        <w:t xml:space="preserve"> </w:t>
      </w:r>
      <w:r w:rsidR="00A7470F">
        <w:t xml:space="preserve">The average facility length was 1589 feet, average ADT was 2000, and average facility age was 4 years. </w:t>
      </w:r>
    </w:p>
    <w:p w:rsidR="00187C82" w:rsidRDefault="00187C82" w:rsidP="00CD7A91">
      <w:r>
        <w:t xml:space="preserve">A number of studies assessing the impact of ABLs have been conducted outside North America, primarily in the Netherlands. These studies involve many </w:t>
      </w:r>
      <w:r w:rsidR="00A7470F">
        <w:t>kilometers</w:t>
      </w:r>
      <w:r>
        <w:t xml:space="preserve"> of roadway and longer durations. </w:t>
      </w:r>
      <w:r w:rsidR="00FC18F7">
        <w:t>Application of their findings</w:t>
      </w:r>
      <w:r w:rsidR="00A7470F">
        <w:t xml:space="preserve"> to</w:t>
      </w:r>
      <w:r w:rsidR="00FC18F7">
        <w:t xml:space="preserve"> the North American context may be difficult or controversial</w:t>
      </w:r>
      <w:r>
        <w:t>.</w:t>
      </w:r>
    </w:p>
    <w:p w:rsidR="00FF1B36" w:rsidRDefault="004B49B2" w:rsidP="004F2E7B">
      <w:pPr>
        <w:pStyle w:val="Heading1"/>
      </w:pPr>
      <w:r>
        <w:t>Need for a Sight Distance Criterion</w:t>
      </w:r>
    </w:p>
    <w:p w:rsidR="004A043A" w:rsidRDefault="004A043A" w:rsidP="00CD7A91">
      <w:pPr>
        <w:pStyle w:val="NormalAfterSubhead"/>
      </w:pPr>
      <w:r>
        <w:t>The most notable feature of ABLs is the use of one lane to sup</w:t>
      </w:r>
      <w:r w:rsidR="006E5801">
        <w:t xml:space="preserve">port two-way vehicular traffic and the requirement that </w:t>
      </w:r>
      <w:r w:rsidR="00A27839">
        <w:t>vehicles</w:t>
      </w:r>
      <w:r w:rsidR="006E5801">
        <w:t xml:space="preserve"> maneuver out of the center travel lane to </w:t>
      </w:r>
      <w:r w:rsidR="00A27839">
        <w:t>bypass oncoming traffic</w:t>
      </w:r>
      <w:r w:rsidR="006E5801">
        <w:t xml:space="preserve">. This </w:t>
      </w:r>
      <w:r w:rsidR="00472019">
        <w:t xml:space="preserve">operational </w:t>
      </w:r>
      <w:r w:rsidR="006E5801">
        <w:t xml:space="preserve">feature imposes a minimum sight distance that allows motorists to detect one another and </w:t>
      </w:r>
      <w:r w:rsidR="00472019">
        <w:t xml:space="preserve">safely avoid collision </w:t>
      </w:r>
      <w:r w:rsidR="006E5801">
        <w:t>at a given speed.</w:t>
      </w:r>
    </w:p>
    <w:p w:rsidR="006E5801" w:rsidRPr="004A043A" w:rsidRDefault="006E5801" w:rsidP="00CD7A91">
      <w:r>
        <w:t xml:space="preserve">The </w:t>
      </w:r>
      <w:r w:rsidR="007C37D8">
        <w:t xml:space="preserve">primary </w:t>
      </w:r>
      <w:r>
        <w:t xml:space="preserve">question this paper addresses is </w:t>
      </w:r>
      <w:r w:rsidR="007C37D8">
        <w:t>whether</w:t>
      </w:r>
      <w:r>
        <w:t xml:space="preserve"> an appropriate sight distance to support safe </w:t>
      </w:r>
      <w:r w:rsidR="00472019">
        <w:t>operation</w:t>
      </w:r>
      <w:r>
        <w:t xml:space="preserve"> of an ABL</w:t>
      </w:r>
      <w:r w:rsidR="00472019">
        <w:t>-equipped roadway</w:t>
      </w:r>
      <w:r w:rsidR="007C37D8">
        <w:t xml:space="preserve"> exists or if one needs to be formulated</w:t>
      </w:r>
      <w:r>
        <w:t>.</w:t>
      </w:r>
    </w:p>
    <w:p w:rsidR="00FF1B36" w:rsidRDefault="00FF1B36" w:rsidP="004F2E7B">
      <w:pPr>
        <w:pStyle w:val="Heading1"/>
      </w:pPr>
      <w:r>
        <w:t xml:space="preserve">Existing </w:t>
      </w:r>
      <w:r w:rsidR="00472019">
        <w:t>Guidance on Sight Distance</w:t>
      </w:r>
      <w:r>
        <w:t xml:space="preserve"> </w:t>
      </w:r>
    </w:p>
    <w:p w:rsidR="004A043A" w:rsidRDefault="004A043A" w:rsidP="00CD7A91">
      <w:pPr>
        <w:pStyle w:val="NormalAfterSubhead"/>
      </w:pPr>
      <w:r>
        <w:t>The 2016 Dutch CROW manual</w:t>
      </w:r>
      <w:r w:rsidR="00BE043C">
        <w:t xml:space="preserve"> </w:t>
      </w:r>
      <w:r w:rsidR="00BE043C" w:rsidRPr="0052058F">
        <w:rPr>
          <w:i/>
        </w:rPr>
        <w:t>(</w:t>
      </w:r>
      <w:r w:rsidR="008263E6" w:rsidRPr="0052058F">
        <w:rPr>
          <w:i/>
        </w:rPr>
        <w:t>4</w:t>
      </w:r>
      <w:r w:rsidR="00BE043C" w:rsidRPr="0052058F">
        <w:rPr>
          <w:i/>
        </w:rPr>
        <w:t xml:space="preserve">) </w:t>
      </w:r>
      <w:r>
        <w:t xml:space="preserve">provides </w:t>
      </w:r>
      <w:r w:rsidR="007C37D8">
        <w:t xml:space="preserve">facility </w:t>
      </w:r>
      <w:r w:rsidR="00BE043C">
        <w:t xml:space="preserve">selection and </w:t>
      </w:r>
      <w:r>
        <w:t xml:space="preserve">design guidance </w:t>
      </w:r>
      <w:r w:rsidR="00BE043C">
        <w:t>for</w:t>
      </w:r>
      <w:r>
        <w:t xml:space="preserve"> ABLs but no guidance on a sight distance criterion.</w:t>
      </w:r>
    </w:p>
    <w:p w:rsidR="004A043A" w:rsidRDefault="004A043A" w:rsidP="00CD7A91">
      <w:r>
        <w:t xml:space="preserve">Existing North American </w:t>
      </w:r>
      <w:r w:rsidR="00374FC9">
        <w:t xml:space="preserve">design </w:t>
      </w:r>
      <w:r>
        <w:t xml:space="preserve">guidance for this facility </w:t>
      </w:r>
      <w:r w:rsidR="00732DBF">
        <w:t>comprises</w:t>
      </w:r>
      <w:r>
        <w:t xml:space="preserve"> three sources: 1) the FWHA Small Town and Rural Multimodal Networks Guide </w:t>
      </w:r>
      <w:r w:rsidR="00BE043C" w:rsidRPr="00BE043C">
        <w:rPr>
          <w:i/>
        </w:rPr>
        <w:t>(1)</w:t>
      </w:r>
      <w:r>
        <w:t xml:space="preserve">, 2) Lessons Learned: Advisory Bicycle Lanes in North America white paper </w:t>
      </w:r>
      <w:r w:rsidR="008263E6">
        <w:rPr>
          <w:i/>
        </w:rPr>
        <w:t>(2)</w:t>
      </w:r>
      <w:r>
        <w:t>, and 3) the FHWA webpage on experimentation with “dashed bicycle lanes”</w:t>
      </w:r>
      <w:r w:rsidR="00BE043C">
        <w:t xml:space="preserve"> </w:t>
      </w:r>
      <w:r w:rsidR="00BE043C" w:rsidRPr="00BE043C">
        <w:rPr>
          <w:i/>
        </w:rPr>
        <w:t>(5)</w:t>
      </w:r>
      <w:r>
        <w:t xml:space="preserve">. </w:t>
      </w:r>
      <w:r w:rsidR="00D7797B">
        <w:t>The</w:t>
      </w:r>
      <w:r>
        <w:t xml:space="preserve"> Small Town and Rural Multimodal Networks Guide</w:t>
      </w:r>
      <w:r w:rsidR="00BE043C">
        <w:t xml:space="preserve"> </w:t>
      </w:r>
      <w:r w:rsidR="00BE043C" w:rsidRPr="00BE043C">
        <w:rPr>
          <w:i/>
        </w:rPr>
        <w:t>(1)</w:t>
      </w:r>
      <w:r>
        <w:t xml:space="preserve"> </w:t>
      </w:r>
      <w:r w:rsidR="0097781B">
        <w:t>recommends</w:t>
      </w:r>
      <w:r w:rsidR="00D7797B">
        <w:t xml:space="preserve"> </w:t>
      </w:r>
      <w:r w:rsidR="00BE043C">
        <w:t xml:space="preserve">the use of </w:t>
      </w:r>
      <w:r w:rsidR="00D7797B">
        <w:t xml:space="preserve">passing sight distance on page </w:t>
      </w:r>
      <w:r w:rsidR="00BE043C">
        <w:t>2-20</w:t>
      </w:r>
      <w:r>
        <w:t xml:space="preserve">. </w:t>
      </w:r>
      <w:r w:rsidR="00D7797B">
        <w:t xml:space="preserve">The white paper </w:t>
      </w:r>
      <w:r w:rsidR="008263E6">
        <w:rPr>
          <w:i/>
        </w:rPr>
        <w:t>(2)</w:t>
      </w:r>
      <w:r w:rsidR="00BE043C">
        <w:rPr>
          <w:i/>
        </w:rPr>
        <w:t xml:space="preserve"> </w:t>
      </w:r>
      <w:r w:rsidR="00BE043C">
        <w:t>d</w:t>
      </w:r>
      <w:r w:rsidR="00D7797B">
        <w:t>efers to the FHWA Small Town Guide</w:t>
      </w:r>
      <w:r w:rsidR="00BE043C">
        <w:t xml:space="preserve"> </w:t>
      </w:r>
      <w:r w:rsidR="00BE043C" w:rsidRPr="00BE043C">
        <w:rPr>
          <w:i/>
        </w:rPr>
        <w:t>(1)</w:t>
      </w:r>
      <w:r w:rsidR="00D7797B">
        <w:t xml:space="preserve"> on this subject. The FHWA website</w:t>
      </w:r>
      <w:r w:rsidR="00BE043C">
        <w:t xml:space="preserve"> </w:t>
      </w:r>
      <w:r w:rsidR="00BE043C" w:rsidRPr="00BE043C">
        <w:rPr>
          <w:i/>
        </w:rPr>
        <w:t>(5)</w:t>
      </w:r>
      <w:r w:rsidR="00D7797B">
        <w:t xml:space="preserve"> provides no direction on sight distance.</w:t>
      </w:r>
    </w:p>
    <w:p w:rsidR="00374FC9" w:rsidRDefault="00D7797B" w:rsidP="00CD7A91">
      <w:r>
        <w:t xml:space="preserve">The only </w:t>
      </w:r>
      <w:r w:rsidR="00923506">
        <w:t>available</w:t>
      </w:r>
      <w:r>
        <w:t xml:space="preserve"> guidance for sight distance on an ABL is </w:t>
      </w:r>
      <w:r w:rsidR="00BA5333">
        <w:t>passing sight distance (PSD)</w:t>
      </w:r>
      <w:r>
        <w:t xml:space="preserve">. </w:t>
      </w:r>
    </w:p>
    <w:p w:rsidR="00D7797B" w:rsidRDefault="00626ADD" w:rsidP="00CD7A91">
      <w:r>
        <w:t xml:space="preserve">The primary issue </w:t>
      </w:r>
      <w:r w:rsidR="00D7797B">
        <w:t xml:space="preserve">with PSD is that it does not reflect the operation of an ABL. </w:t>
      </w:r>
      <w:r w:rsidR="00923506">
        <w:t>An important assumption</w:t>
      </w:r>
      <w:r w:rsidR="00D7797B">
        <w:t xml:space="preserve"> of the PSD is that a vehicle belongs in the right hand lane at all times until a passing opportunity is detected and initiated. In an ABL, a vehicle belongs in the center travel lane at all times until a maneuver is necessary to avoid oncoming traffic</w:t>
      </w:r>
      <w:r w:rsidR="00923506">
        <w:t>, after which both vehicles return to the center travel lane</w:t>
      </w:r>
      <w:r w:rsidR="00D7797B">
        <w:t xml:space="preserve">. </w:t>
      </w:r>
    </w:p>
    <w:p w:rsidR="00FF1B36" w:rsidRDefault="00472019" w:rsidP="004F2E7B">
      <w:pPr>
        <w:pStyle w:val="Heading1"/>
      </w:pPr>
      <w:r>
        <w:t>Considerations for Sight Distance</w:t>
      </w:r>
    </w:p>
    <w:p w:rsidR="00822872" w:rsidRDefault="00923506" w:rsidP="00CD7A91">
      <w:pPr>
        <w:pStyle w:val="NormalAfterSubhead"/>
      </w:pPr>
      <w:r>
        <w:t>The aim of this paper is to examine alternatives to</w:t>
      </w:r>
      <w:r w:rsidR="00822872">
        <w:t xml:space="preserve"> the PSD as an ABL sight distance criterion. If an existing sight distance is </w:t>
      </w:r>
      <w:r w:rsidR="00487828">
        <w:t>appropriate</w:t>
      </w:r>
      <w:r w:rsidR="00822872">
        <w:t xml:space="preserve">, a new one will not have to be created. </w:t>
      </w:r>
    </w:p>
    <w:p w:rsidR="00883FB8" w:rsidRDefault="00822872" w:rsidP="00CD7A91">
      <w:r>
        <w:t xml:space="preserve">To assess other sight distance criteria for an ABL, two-way vehicular travel in the center lane and posted speed limits of 35 MPH or less are assumed. Alternative sight distances are </w:t>
      </w:r>
      <w:r w:rsidR="00472019">
        <w:t>described</w:t>
      </w:r>
      <w:r>
        <w:t xml:space="preserve"> below</w:t>
      </w:r>
      <w:r w:rsidR="009C027F">
        <w:t>, compared, and discussed.</w:t>
      </w:r>
    </w:p>
    <w:p w:rsidR="005920A3" w:rsidRDefault="005920A3" w:rsidP="00CD7A91">
      <w:r>
        <w:t xml:space="preserve">An appropriate sight distance for an ABL should be based on a reasonable worst-case scenario occurring on the roadway. Two possibilities exist when a motorist must </w:t>
      </w:r>
      <w:r w:rsidR="009C027F">
        <w:t>maneuver to bypass</w:t>
      </w:r>
      <w:r>
        <w:t xml:space="preserve"> an oncoming vehicle. If the bike lanes are unoccupied, the vehicles can move into the bike lanes to accomplish the </w:t>
      </w:r>
      <w:r>
        <w:lastRenderedPageBreak/>
        <w:t xml:space="preserve">passing maneuver. The second possibility </w:t>
      </w:r>
      <w:r w:rsidR="001D6820">
        <w:t xml:space="preserve">is that insufficient width exists for a successful passing maneuver and both vehicles must come to a full stop to avoid a collision. This </w:t>
      </w:r>
      <w:r w:rsidR="009C027F">
        <w:t>may</w:t>
      </w:r>
      <w:r w:rsidR="001D6820">
        <w:t xml:space="preserve"> occur if </w:t>
      </w:r>
      <w:r>
        <w:t xml:space="preserve">the bike lanes are not available for use </w:t>
      </w:r>
      <w:r w:rsidR="001D6820">
        <w:t>or one vehicle fails to give way</w:t>
      </w:r>
      <w:r>
        <w:t>.</w:t>
      </w:r>
      <w:r w:rsidR="009E1230">
        <w:t xml:space="preserve"> </w:t>
      </w:r>
    </w:p>
    <w:p w:rsidR="00E04EC2" w:rsidRDefault="00E04EC2" w:rsidP="004F2E7B">
      <w:pPr>
        <w:pStyle w:val="Heading1"/>
      </w:pPr>
      <w:r>
        <w:t>Discussion of Existing Sight Distance Criteria</w:t>
      </w:r>
    </w:p>
    <w:p w:rsidR="00301829" w:rsidRPr="004F2E7B" w:rsidRDefault="00301829" w:rsidP="004F2E7B">
      <w:pPr>
        <w:pStyle w:val="Heading2"/>
      </w:pPr>
      <w:r w:rsidRPr="004F2E7B">
        <w:t>Passing Sight Distance (PSD)</w:t>
      </w:r>
    </w:p>
    <w:p w:rsidR="00301829" w:rsidRDefault="00301829" w:rsidP="00CD7A91">
      <w:pPr>
        <w:pStyle w:val="NormalAfterSubhead"/>
      </w:pPr>
      <w:r>
        <w:t xml:space="preserve">Passing sight distance is included in the Small Town and Rural Multimodal Networks Guide </w:t>
      </w:r>
      <w:r w:rsidRPr="0052058F">
        <w:rPr>
          <w:i/>
        </w:rPr>
        <w:t>(1)</w:t>
      </w:r>
      <w:r>
        <w:t xml:space="preserve"> as a requirement for sight distance on ABL-equipped roadways. </w:t>
      </w:r>
    </w:p>
    <w:p w:rsidR="00301829" w:rsidRDefault="00301829" w:rsidP="00CD7A91">
      <w:r>
        <w:t xml:space="preserve">Per the 2011 Green Book </w:t>
      </w:r>
      <w:r w:rsidRPr="005F7B14">
        <w:rPr>
          <w:i/>
        </w:rPr>
        <w:t>(6)</w:t>
      </w:r>
      <w:r>
        <w:t xml:space="preserve">, PSD is the sum of four components: </w:t>
      </w:r>
    </w:p>
    <w:p w:rsidR="00200A92" w:rsidRDefault="00200A92" w:rsidP="00CD7A91"/>
    <w:p w:rsidR="00301829" w:rsidRDefault="00301829" w:rsidP="00CD7A91">
      <w:pPr>
        <w:pStyle w:val="ListParagraph"/>
        <w:numPr>
          <w:ilvl w:val="0"/>
          <w:numId w:val="3"/>
        </w:numPr>
      </w:pPr>
      <w:r>
        <w:t xml:space="preserve">the distance traveled during perception and reaction to the passing opportunity as well as the initial acceleration to the point of encroachment on the left lane, </w:t>
      </w:r>
    </w:p>
    <w:p w:rsidR="00301829" w:rsidRDefault="00301829" w:rsidP="00CD7A91">
      <w:pPr>
        <w:pStyle w:val="ListParagraph"/>
        <w:numPr>
          <w:ilvl w:val="0"/>
          <w:numId w:val="3"/>
        </w:numPr>
      </w:pPr>
      <w:r>
        <w:t xml:space="preserve">the distance traveled while the passing vehicle occupies the left lane, </w:t>
      </w:r>
    </w:p>
    <w:p w:rsidR="00301829" w:rsidRDefault="00301829" w:rsidP="00CD7A91">
      <w:pPr>
        <w:pStyle w:val="ListParagraph"/>
        <w:numPr>
          <w:ilvl w:val="0"/>
          <w:numId w:val="3"/>
        </w:numPr>
      </w:pPr>
      <w:r>
        <w:t xml:space="preserve">the distance between the passing vehicle and the opposing vehicle at the end of the passing maneuver, and </w:t>
      </w:r>
    </w:p>
    <w:p w:rsidR="00301829" w:rsidRDefault="00301829" w:rsidP="00CD7A91">
      <w:pPr>
        <w:pStyle w:val="ListParagraph"/>
        <w:numPr>
          <w:ilvl w:val="0"/>
          <w:numId w:val="3"/>
        </w:numPr>
      </w:pPr>
      <w:r>
        <w:t xml:space="preserve">the distance traveled by an opposing vehicle for two-thirds of the time the passing vehicle occupies the left lane. </w:t>
      </w:r>
    </w:p>
    <w:p w:rsidR="00200A92" w:rsidRDefault="00200A92" w:rsidP="00200A92">
      <w:pPr>
        <w:ind w:left="360" w:firstLine="0"/>
      </w:pPr>
    </w:p>
    <w:p w:rsidR="009C027F" w:rsidRDefault="009C027F" w:rsidP="009C027F">
      <w:r>
        <w:t xml:space="preserve">With respect to a vehicle-bicycle passing maneuver, PSD provides values which are too conservative due to inapplicability of the first PSD component to this maneuver, the greater speed differential likely between the two parties, and the vehicle lengths assumed. </w:t>
      </w:r>
    </w:p>
    <w:p w:rsidR="00301829" w:rsidRDefault="00301829" w:rsidP="00CD7A91">
      <w:r>
        <w:t xml:space="preserve">The primary issue with PSD is its failure to reflect the operation of an ABL. </w:t>
      </w:r>
      <w:r w:rsidR="009C027F">
        <w:t>Recommendation</w:t>
      </w:r>
      <w:r w:rsidR="00BA0D43">
        <w:t xml:space="preserve"> of PSD appears to model an ABL as a roadway on which successive vehicle-bicycle passing maneuvers occur. </w:t>
      </w:r>
      <w:r>
        <w:t xml:space="preserve">An important assumption of the PSD is that a vehicle belongs in the right hand lane at all times until a passing opportunity is detected and </w:t>
      </w:r>
      <w:r w:rsidR="009C027F">
        <w:t xml:space="preserve">a passing maneuver is </w:t>
      </w:r>
      <w:r>
        <w:t xml:space="preserve">initiated. In an ABL, a vehicle belongs in the center travel lane at all times until a maneuver is necessary to avoid oncoming traffic, after which both vehicles return to the center travel lane. This difference in operation renders component #1 of the PSD definition </w:t>
      </w:r>
      <w:r w:rsidR="00A40D4E">
        <w:t>inapplicable</w:t>
      </w:r>
      <w:r>
        <w:t xml:space="preserve"> to an ABL.</w:t>
      </w:r>
    </w:p>
    <w:p w:rsidR="00301829" w:rsidRDefault="00A40D4E" w:rsidP="00CD7A91">
      <w:r>
        <w:t>The second issue is the</w:t>
      </w:r>
      <w:r w:rsidR="00301829">
        <w:t xml:space="preserve"> assumption </w:t>
      </w:r>
      <w:r>
        <w:t>on speed differential underlying</w:t>
      </w:r>
      <w:r w:rsidR="00301829">
        <w:t xml:space="preserve"> the PSD</w:t>
      </w:r>
      <w:r>
        <w:t>. PSD calculations assume</w:t>
      </w:r>
      <w:r w:rsidR="00301829">
        <w:t xml:space="preserve"> that the average speed of the passing vehicle while in the left lane is 12 MPH higher than the passed vehicle</w:t>
      </w:r>
      <w:r w:rsidR="00B12EF9">
        <w:t xml:space="preserve"> </w:t>
      </w:r>
      <w:r w:rsidR="00B12EF9" w:rsidRPr="00B12EF9">
        <w:rPr>
          <w:i/>
        </w:rPr>
        <w:t>(6)</w:t>
      </w:r>
      <w:r w:rsidR="00301829">
        <w:t>. Without data, it is not possible to assess the relevance of this assumption but it seems likely that the speed differential is higher during a vehicle-bicycle passing maneuver due to the generally lower speeds of bicycles. Additionally, no acceleration is needed by the vehicle as described in component 1 of the PSD definition</w:t>
      </w:r>
      <w:r>
        <w:t xml:space="preserve"> which raises the </w:t>
      </w:r>
      <w:r w:rsidR="009C027F">
        <w:t xml:space="preserve">average </w:t>
      </w:r>
      <w:r>
        <w:t>speed differential further</w:t>
      </w:r>
      <w:r w:rsidR="00301829">
        <w:t>.</w:t>
      </w:r>
    </w:p>
    <w:p w:rsidR="00301829" w:rsidRDefault="00B12EF9" w:rsidP="00CD7A91">
      <w:r>
        <w:t xml:space="preserve">The third issue is the assumption made by the PSD calculations that both vehicles are nineteen feet long </w:t>
      </w:r>
      <w:r w:rsidRPr="00B12EF9">
        <w:rPr>
          <w:i/>
        </w:rPr>
        <w:t>(6)</w:t>
      </w:r>
      <w:r>
        <w:t xml:space="preserve">. </w:t>
      </w:r>
      <w:r w:rsidR="00301829">
        <w:t xml:space="preserve">The bicycle design dimensions promulgated by AASHTO </w:t>
      </w:r>
      <w:r w:rsidR="00301829" w:rsidRPr="00B12EF9">
        <w:rPr>
          <w:i/>
        </w:rPr>
        <w:t>(</w:t>
      </w:r>
      <w:r w:rsidR="00716801">
        <w:rPr>
          <w:i/>
        </w:rPr>
        <w:t>7</w:t>
      </w:r>
      <w:r w:rsidR="00301829" w:rsidRPr="00B12EF9">
        <w:rPr>
          <w:i/>
        </w:rPr>
        <w:t>)</w:t>
      </w:r>
      <w:r w:rsidR="00301829">
        <w:t xml:space="preserve"> show lengths ranging from seventy inches for a normal bicycle to one</w:t>
      </w:r>
      <w:r>
        <w:t>-</w:t>
      </w:r>
      <w:r w:rsidR="00301829">
        <w:t>hundred</w:t>
      </w:r>
      <w:r>
        <w:t>-</w:t>
      </w:r>
      <w:r w:rsidR="00301829">
        <w:t>seventeen inches for a bicycle with child trailer. These are significantly shorter than the nineteen feet assumed by the PSD calculations.</w:t>
      </w:r>
    </w:p>
    <w:p w:rsidR="00301829" w:rsidRDefault="00BA0D43" w:rsidP="00CD7A91">
      <w:r>
        <w:t>PSD is not</w:t>
      </w:r>
      <w:r w:rsidR="00B12EF9">
        <w:t xml:space="preserve"> reflective of ABL </w:t>
      </w:r>
      <w:r w:rsidR="000B393B">
        <w:t>operation and</w:t>
      </w:r>
      <w:r w:rsidR="00B12EF9">
        <w:t xml:space="preserve"> it appears that PSD produces </w:t>
      </w:r>
      <w:r w:rsidR="000B393B">
        <w:t>overly</w:t>
      </w:r>
      <w:r w:rsidR="00B12EF9">
        <w:t xml:space="preserve">-conservative values </w:t>
      </w:r>
      <w:r w:rsidR="000B393B">
        <w:t xml:space="preserve">for </w:t>
      </w:r>
      <w:r w:rsidR="009C027F">
        <w:t>its</w:t>
      </w:r>
      <w:r w:rsidR="000B393B">
        <w:t xml:space="preserve"> model</w:t>
      </w:r>
      <w:r w:rsidR="009C027F">
        <w:t xml:space="preserve"> of an ABL</w:t>
      </w:r>
      <w:r w:rsidR="00B12EF9">
        <w:t xml:space="preserve">. </w:t>
      </w:r>
    </w:p>
    <w:p w:rsidR="00732DBF" w:rsidRDefault="00732DBF" w:rsidP="004F2E7B">
      <w:pPr>
        <w:pStyle w:val="Heading2"/>
      </w:pPr>
      <w:r>
        <w:t>Stopping Sight Distance (SSD)</w:t>
      </w:r>
    </w:p>
    <w:p w:rsidR="00732DBF" w:rsidRDefault="00C74148" w:rsidP="00CD7A91">
      <w:pPr>
        <w:pStyle w:val="NormalAfterSubhead"/>
      </w:pPr>
      <w:r>
        <w:t>An</w:t>
      </w:r>
      <w:r w:rsidR="00732DBF">
        <w:t xml:space="preserve"> ABL-equipped road should provide SSD as a minimum requirement. This provides a motorist enough time and distance to detect a stationary object in the road and stop before striking the object. SSD values for </w:t>
      </w:r>
      <w:r w:rsidR="00822872">
        <w:t>various speeds</w:t>
      </w:r>
      <w:r w:rsidR="00732DBF">
        <w:t xml:space="preserve"> are available in the </w:t>
      </w:r>
      <w:r w:rsidR="00BA5333">
        <w:t>2009</w:t>
      </w:r>
      <w:r w:rsidR="009E1230">
        <w:t xml:space="preserve"> Manual on Uniform Traffic Control Devices</w:t>
      </w:r>
      <w:r w:rsidR="00BA5333">
        <w:t xml:space="preserve"> </w:t>
      </w:r>
      <w:r w:rsidR="009E1230">
        <w:t>(</w:t>
      </w:r>
      <w:r w:rsidR="00732DBF">
        <w:t>MUTCD</w:t>
      </w:r>
      <w:r w:rsidR="009E1230">
        <w:t>)</w:t>
      </w:r>
      <w:r w:rsidR="00BA5333">
        <w:t xml:space="preserve"> </w:t>
      </w:r>
      <w:r w:rsidR="00BA5333" w:rsidRPr="009C027F">
        <w:rPr>
          <w:i/>
        </w:rPr>
        <w:t>(</w:t>
      </w:r>
      <w:r w:rsidR="00716801" w:rsidRPr="009C027F">
        <w:rPr>
          <w:i/>
        </w:rPr>
        <w:t>8</w:t>
      </w:r>
      <w:r w:rsidR="00BA5333" w:rsidRPr="009C027F">
        <w:rPr>
          <w:i/>
        </w:rPr>
        <w:t>)</w:t>
      </w:r>
      <w:r w:rsidR="00732DBF">
        <w:t xml:space="preserve"> and the 2011 AASHTO Green Book</w:t>
      </w:r>
      <w:r>
        <w:t xml:space="preserve"> </w:t>
      </w:r>
      <w:r w:rsidR="00BA5333" w:rsidRPr="0052058F">
        <w:rPr>
          <w:i/>
        </w:rPr>
        <w:t>(6)</w:t>
      </w:r>
      <w:r w:rsidR="00732DBF">
        <w:t xml:space="preserve">. SSD should be adjusted for grade and may differ based on direction of travel. </w:t>
      </w:r>
      <w:r w:rsidR="00B12EF9">
        <w:t xml:space="preserve">Object height for SSD is assumed to be 2 feet. </w:t>
      </w:r>
    </w:p>
    <w:p w:rsidR="00822872" w:rsidRDefault="00822872" w:rsidP="00CD7A91">
      <w:r>
        <w:t xml:space="preserve">SSD </w:t>
      </w:r>
      <w:r w:rsidR="00C74148">
        <w:t>is in</w:t>
      </w:r>
      <w:r>
        <w:t xml:space="preserve">sufficient </w:t>
      </w:r>
      <w:r w:rsidR="00C74148">
        <w:t xml:space="preserve">for safe operation of an ABL </w:t>
      </w:r>
      <w:r>
        <w:t xml:space="preserve">since oncoming vehicles violate the assumption of a stationary object. </w:t>
      </w:r>
    </w:p>
    <w:p w:rsidR="00301829" w:rsidRDefault="00301829" w:rsidP="004F2E7B">
      <w:pPr>
        <w:pStyle w:val="Heading2"/>
      </w:pPr>
      <w:r>
        <w:lastRenderedPageBreak/>
        <w:t>Collision Sight Distance (CSD)</w:t>
      </w:r>
    </w:p>
    <w:p w:rsidR="00301829" w:rsidRDefault="00301829" w:rsidP="00CD7A91">
      <w:pPr>
        <w:pStyle w:val="NormalAfterSubhead"/>
      </w:pPr>
      <w:r>
        <w:t xml:space="preserve">If the bicycle lanes are not available for vehicle maneuvers for any reason, oncoming motorists must be able to detect each other and stop before colliding. Per the AASHTO Guidelines for Geometric Design of Very Low-Volume Local Roads </w:t>
      </w:r>
      <w:r w:rsidRPr="0052058F">
        <w:rPr>
          <w:i/>
        </w:rPr>
        <w:t>(</w:t>
      </w:r>
      <w:r w:rsidR="00716801" w:rsidRPr="0052058F">
        <w:rPr>
          <w:i/>
        </w:rPr>
        <w:t>9</w:t>
      </w:r>
      <w:r w:rsidRPr="0052058F">
        <w:rPr>
          <w:i/>
        </w:rPr>
        <w:t>)</w:t>
      </w:r>
      <w:r>
        <w:t xml:space="preserve">, the sight distance for two-way travel on one lane roads should equal twice the SSD. For lack of an existing name, this is termed the </w:t>
      </w:r>
      <w:r w:rsidR="00B12EF9">
        <w:t>Collision Sight Distance (CSD)</w:t>
      </w:r>
      <w:r>
        <w:t xml:space="preserve">. If a grade is involved, CSD equals the sum of the SSDs for each direction. The SSD calculations assume an object height of 2’ </w:t>
      </w:r>
      <w:r w:rsidRPr="0052058F">
        <w:rPr>
          <w:i/>
        </w:rPr>
        <w:t>(6)</w:t>
      </w:r>
      <w:r>
        <w:t>.</w:t>
      </w:r>
    </w:p>
    <w:p w:rsidR="00301829" w:rsidRDefault="00301829" w:rsidP="00CD7A91">
      <w:r>
        <w:t xml:space="preserve">CSD appears to provide sufficient distance to prevent two oncoming vehicles from colliding when the bike lanes are unavailable for maneuvering. Additional margin may exist due to drivers’ expectations of seeing oncoming traffic and the low object height assumed by the calculations. </w:t>
      </w:r>
    </w:p>
    <w:p w:rsidR="00301829" w:rsidRDefault="00301829" w:rsidP="00CD7A91">
      <w:r>
        <w:t>Despite providing enough distance to avoid a collision, CSD may not provide enough distance for the preferred action which is a shift to the right to bypass oncoming traffic. For this action, a driver would be required to detect an oncoming vehicle, scan the bike lane to ensure room is available and complete a shift maneuver before reaching the other vehicle.</w:t>
      </w:r>
      <w:r w:rsidR="00594872">
        <w:t xml:space="preserve"> </w:t>
      </w:r>
      <w:r w:rsidR="003B67BD">
        <w:t>This action would likely take more time and distance than CSD provides.</w:t>
      </w:r>
    </w:p>
    <w:p w:rsidR="00732DBF" w:rsidRDefault="00732DBF" w:rsidP="004F2E7B">
      <w:pPr>
        <w:pStyle w:val="Heading2"/>
      </w:pPr>
      <w:r>
        <w:t xml:space="preserve">Decision Sight Distance (DSD) </w:t>
      </w:r>
    </w:p>
    <w:p w:rsidR="00730FF0" w:rsidRDefault="00732DBF" w:rsidP="00CD7A91">
      <w:pPr>
        <w:pStyle w:val="NormalAfterSubhead"/>
      </w:pPr>
      <w:r>
        <w:t xml:space="preserve">Assuming the bicycle lanes are available for vehicle use, a distance known as the decision sight distance (DSD) may be </w:t>
      </w:r>
      <w:r w:rsidR="00730FF0">
        <w:t>applicable</w:t>
      </w:r>
      <w:r>
        <w:t>. Per the 2011 Green Book</w:t>
      </w:r>
      <w:r w:rsidR="00BA5333">
        <w:t xml:space="preserve"> </w:t>
      </w:r>
      <w:r w:rsidR="00BA5333" w:rsidRPr="0052058F">
        <w:rPr>
          <w:i/>
        </w:rPr>
        <w:t>(6)</w:t>
      </w:r>
      <w:r>
        <w:t>, DSD “</w:t>
      </w:r>
      <w:r w:rsidRPr="004214D7">
        <w:t>is the distance needed for a driver to detect an unexpected or otherwise difficult</w:t>
      </w:r>
      <w:r>
        <w:t>-</w:t>
      </w:r>
      <w:r w:rsidRPr="004214D7">
        <w:t>to-perceive information source or condition in a roadway environment that may be visually cluttered, recognize the condition or its potential threat, select an appropriate speed and path, and initiate and complete complex maneuvers</w:t>
      </w:r>
      <w:r>
        <w:t xml:space="preserve">”. </w:t>
      </w:r>
      <w:r w:rsidR="00730FF0">
        <w:t>O</w:t>
      </w:r>
      <w:r>
        <w:t>bject height is assumed to be 2’.</w:t>
      </w:r>
      <w:r w:rsidR="00730FF0">
        <w:t xml:space="preserve"> </w:t>
      </w:r>
    </w:p>
    <w:p w:rsidR="00732DBF" w:rsidRDefault="00730FF0" w:rsidP="00CD7A91">
      <w:r>
        <w:t xml:space="preserve">This distance is intended to be used in complicated situations where the perception and recognition of the hazard requires more time. The DSD varies according to </w:t>
      </w:r>
      <w:r w:rsidR="001119A1">
        <w:t>the</w:t>
      </w:r>
      <w:r>
        <w:t xml:space="preserve"> maneuver </w:t>
      </w:r>
      <w:r w:rsidR="001119A1">
        <w:t>chosen by the motorist.</w:t>
      </w:r>
      <w:r>
        <w:t xml:space="preserve"> With respect to a full stop on a rural road, it is only slightly longer than the SSD due to the longer perception time allowed but for other maneuvers, it is much longer.</w:t>
      </w:r>
      <w:r w:rsidR="005E6971">
        <w:t xml:space="preserve"> The pre-maneuver time used for a full-stop in a rural setting is 3.0 seconds and 9.1 seconds for a full-stop in an urban setting </w:t>
      </w:r>
      <w:r w:rsidR="005E6971" w:rsidRPr="005E6971">
        <w:rPr>
          <w:i/>
        </w:rPr>
        <w:t>(6)</w:t>
      </w:r>
      <w:r w:rsidR="005E6971">
        <w:t>.</w:t>
      </w:r>
    </w:p>
    <w:p w:rsidR="00594872" w:rsidRDefault="00730FF0" w:rsidP="00CD7A91">
      <w:r>
        <w:t xml:space="preserve">DSD is insufficient for safe operation of an ABL since oncoming vehicles violate the assumption of a stationary condition. </w:t>
      </w:r>
    </w:p>
    <w:p w:rsidR="00594872" w:rsidRDefault="00594872" w:rsidP="004F2E7B">
      <w:pPr>
        <w:pStyle w:val="Heading2"/>
      </w:pPr>
      <w:r>
        <w:t xml:space="preserve">Avoidance Sight Distance (ASD) </w:t>
      </w:r>
    </w:p>
    <w:p w:rsidR="00730FF0" w:rsidRDefault="00730FF0" w:rsidP="00CD7A91">
      <w:pPr>
        <w:pStyle w:val="NormalAfterSubhead"/>
      </w:pPr>
      <w:r>
        <w:t>Use of twice the DSD</w:t>
      </w:r>
      <w:r w:rsidR="00594872">
        <w:t>, called Avoidance Sight Distance (ASD) here,</w:t>
      </w:r>
      <w:r>
        <w:t xml:space="preserve"> </w:t>
      </w:r>
      <w:r w:rsidR="005E6971">
        <w:t>would</w:t>
      </w:r>
      <w:r>
        <w:t xml:space="preserve"> allow both vehicles to detect and </w:t>
      </w:r>
      <w:r w:rsidR="00594872">
        <w:t>maneuver away</w:t>
      </w:r>
      <w:r>
        <w:t xml:space="preserve"> in time to avoid a collision. </w:t>
      </w:r>
      <w:r w:rsidR="005E6971">
        <w:t xml:space="preserve">However, some issues </w:t>
      </w:r>
      <w:r w:rsidR="00594872">
        <w:t>exist with ASD</w:t>
      </w:r>
      <w:r w:rsidR="005E6971">
        <w:t>.</w:t>
      </w:r>
    </w:p>
    <w:p w:rsidR="00DF1A06" w:rsidRDefault="0052058F" w:rsidP="00CD7A91">
      <w:r>
        <w:t>The first</w:t>
      </w:r>
      <w:r w:rsidR="001119A1">
        <w:t xml:space="preserve"> problem</w:t>
      </w:r>
      <w:r w:rsidR="00730FF0">
        <w:t xml:space="preserve"> with </w:t>
      </w:r>
      <w:r w:rsidR="00594872">
        <w:t>ASD</w:t>
      </w:r>
      <w:r w:rsidR="00730FF0">
        <w:t xml:space="preserve"> </w:t>
      </w:r>
      <w:r w:rsidR="001119A1">
        <w:t xml:space="preserve">is that the bike lanes </w:t>
      </w:r>
      <w:r w:rsidR="00730FF0">
        <w:t>may not be available to one or both motor vehicles</w:t>
      </w:r>
      <w:r w:rsidR="001119A1">
        <w:t xml:space="preserve">, eliminating the possibility of maneuvering away from an oncoming vehicle. </w:t>
      </w:r>
      <w:r w:rsidR="00DF1A06">
        <w:t xml:space="preserve">One must ensure that both vehicles can stop to avoid a collision </w:t>
      </w:r>
      <w:r w:rsidR="003B67BD">
        <w:t>following one or both drivers’ recognition of this fact</w:t>
      </w:r>
      <w:r w:rsidR="00DF1A06">
        <w:t xml:space="preserve">. </w:t>
      </w:r>
    </w:p>
    <w:p w:rsidR="00DF1A06" w:rsidRDefault="001119A1" w:rsidP="00CD7A91">
      <w:r>
        <w:t xml:space="preserve">Another issue is that </w:t>
      </w:r>
      <w:r w:rsidR="00594872">
        <w:t>A</w:t>
      </w:r>
      <w:r w:rsidR="00730FF0">
        <w:t xml:space="preserve">SD </w:t>
      </w:r>
      <w:r w:rsidR="00594872">
        <w:t>incorporates the DSD assumption of</w:t>
      </w:r>
      <w:r w:rsidR="00730FF0">
        <w:t xml:space="preserve"> unexpected or difficult-to-perceive threats</w:t>
      </w:r>
      <w:r>
        <w:t xml:space="preserve">. Motorists on an ABL are assumed to be aware of the likelihood of oncoming traffic. Additionally, oncoming traffic is likely to be easily perceived though </w:t>
      </w:r>
      <w:r w:rsidR="00594872">
        <w:t>situations can be envisioned which would</w:t>
      </w:r>
      <w:r>
        <w:t xml:space="preserve"> challenge that assumption. </w:t>
      </w:r>
    </w:p>
    <w:p w:rsidR="00730FF0" w:rsidRDefault="00DF1A06" w:rsidP="00CD7A91">
      <w:r>
        <w:t xml:space="preserve">If the environment is so complicated that the longer perception time of a DSD is needed, it is likely the wrong environment for an ABL. Instances </w:t>
      </w:r>
      <w:r w:rsidR="003B67BD">
        <w:t>could</w:t>
      </w:r>
      <w:r>
        <w:t xml:space="preserve"> arise where a longer perception time is needed but this should be addressed on a case-by-case basis </w:t>
      </w:r>
      <w:r w:rsidR="005E6971">
        <w:t xml:space="preserve">by a qualified engineer </w:t>
      </w:r>
      <w:r>
        <w:t>rather than incorporating it into the assumptions for ABL sight distance</w:t>
      </w:r>
      <w:r w:rsidR="003B67BD">
        <w:t xml:space="preserve"> formulation</w:t>
      </w:r>
      <w:r>
        <w:t>.</w:t>
      </w:r>
    </w:p>
    <w:p w:rsidR="00594872" w:rsidRDefault="00C74148" w:rsidP="00CD7A91">
      <w:r>
        <w:t xml:space="preserve">While </w:t>
      </w:r>
      <w:r w:rsidR="00594872">
        <w:t>ASD</w:t>
      </w:r>
      <w:r>
        <w:t xml:space="preserve"> </w:t>
      </w:r>
      <w:r w:rsidR="00D8508B">
        <w:t>may be a sight distance worth striving for on</w:t>
      </w:r>
      <w:r>
        <w:t xml:space="preserve"> an ABL, </w:t>
      </w:r>
      <w:r w:rsidR="00594872">
        <w:t xml:space="preserve">its assumption of unexpected or hard-to-perceive threats may make it inapplicable to an ABL which is only </w:t>
      </w:r>
      <w:r w:rsidR="003B67BD">
        <w:t>intended</w:t>
      </w:r>
      <w:r w:rsidR="00594872">
        <w:t xml:space="preserve"> for lower-volume, lower-speed roads. </w:t>
      </w:r>
    </w:p>
    <w:p w:rsidR="005B320F" w:rsidRDefault="005B320F" w:rsidP="004F2E7B">
      <w:pPr>
        <w:pStyle w:val="Heading2"/>
      </w:pPr>
      <w:bookmarkStart w:id="1" w:name="_79jsrxw5hpsv" w:colFirst="0" w:colLast="0"/>
      <w:bookmarkEnd w:id="1"/>
      <w:r>
        <w:lastRenderedPageBreak/>
        <w:t>Headlight Sight Distance (HSD)</w:t>
      </w:r>
    </w:p>
    <w:p w:rsidR="005B320F" w:rsidRDefault="005B320F" w:rsidP="00CD7A91">
      <w:pPr>
        <w:pStyle w:val="NormalAfterSubhead"/>
      </w:pPr>
      <w:r>
        <w:t>Detection of cyclists, pedestrians and oncoming vehicles is necessary during nighttime driving on an ABL. When driving at night, sight distance is often constrained by the reach of a vehicle’s headlights. This is called the headlight sight distance</w:t>
      </w:r>
      <w:r w:rsidR="0052058F">
        <w:t xml:space="preserve"> (HSD)</w:t>
      </w:r>
      <w:r>
        <w:t xml:space="preserve">. Page 67 of NCHRP Report 400 </w:t>
      </w:r>
      <w:r w:rsidR="005F7B14" w:rsidRPr="0052058F">
        <w:rPr>
          <w:i/>
        </w:rPr>
        <w:t>(</w:t>
      </w:r>
      <w:r w:rsidR="00B147A1" w:rsidRPr="0052058F">
        <w:rPr>
          <w:i/>
        </w:rPr>
        <w:t>10</w:t>
      </w:r>
      <w:r w:rsidR="005F7B14" w:rsidRPr="0052058F">
        <w:rPr>
          <w:i/>
        </w:rPr>
        <w:t>)</w:t>
      </w:r>
      <w:r>
        <w:t xml:space="preserve"> sets HSD at 130 meters (427 feet) for “a small or low contrast object on an unilluminated roadway”. It also notes that large or high contrast objects can be detected at longer distances under the same conditions. </w:t>
      </w:r>
    </w:p>
    <w:p w:rsidR="005B320F" w:rsidRDefault="005B320F" w:rsidP="00CD7A91">
      <w:r>
        <w:t>HSD is provided for comparison to the other distances in nighttime conditions.</w:t>
      </w:r>
    </w:p>
    <w:p w:rsidR="00732DBF" w:rsidRDefault="00732DBF" w:rsidP="004F2E7B">
      <w:pPr>
        <w:pStyle w:val="Heading2"/>
      </w:pPr>
      <w:r>
        <w:t>Comparison of Sight Distances</w:t>
      </w:r>
    </w:p>
    <w:p w:rsidR="00732DBF" w:rsidRDefault="00732DBF" w:rsidP="00CD7A91">
      <w:pPr>
        <w:pStyle w:val="NormalAfterSubhead"/>
      </w:pPr>
      <w:r>
        <w:t>Table 1 lists the discussed sight distances for speeds at which an ABL-equipped roadway would commonly be posted in North America.</w:t>
      </w:r>
    </w:p>
    <w:p w:rsidR="00C17689" w:rsidRDefault="00C17689" w:rsidP="00CD7A91">
      <w:pPr>
        <w:pStyle w:val="NormalAfterSubhead"/>
      </w:pPr>
    </w:p>
    <w:p w:rsidR="00732DBF" w:rsidRDefault="00280539" w:rsidP="00200A92">
      <w:pPr>
        <w:ind w:firstLine="0"/>
        <w:rPr>
          <w:b/>
        </w:rPr>
      </w:pPr>
      <w:r w:rsidRPr="00C17689">
        <w:rPr>
          <w:b/>
        </w:rPr>
        <w:t>TABLE</w:t>
      </w:r>
      <w:r w:rsidR="00732DBF" w:rsidRPr="00C17689">
        <w:rPr>
          <w:b/>
        </w:rPr>
        <w:t xml:space="preserve"> 1 </w:t>
      </w:r>
      <w:r w:rsidR="00C17689" w:rsidRPr="00C17689">
        <w:rPr>
          <w:b/>
        </w:rPr>
        <w:t xml:space="preserve"> </w:t>
      </w:r>
      <w:r w:rsidR="00732DBF" w:rsidRPr="00C17689">
        <w:rPr>
          <w:b/>
        </w:rPr>
        <w:t xml:space="preserve">Sight Distances </w:t>
      </w:r>
      <w:r w:rsidRPr="00C17689">
        <w:rPr>
          <w:b/>
        </w:rPr>
        <w:t>V</w:t>
      </w:r>
      <w:r w:rsidR="00732DBF" w:rsidRPr="00C17689">
        <w:rPr>
          <w:b/>
        </w:rPr>
        <w:t>ersus Posted Speed</w:t>
      </w:r>
    </w:p>
    <w:p w:rsidR="00C17689" w:rsidRPr="00C17689" w:rsidRDefault="00C17689" w:rsidP="00CD7A91">
      <w:pPr>
        <w:rPr>
          <w:b/>
        </w:rPr>
      </w:pPr>
    </w:p>
    <w:tbl>
      <w:tblPr>
        <w:tblW w:w="7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008"/>
        <w:gridCol w:w="1008"/>
        <w:gridCol w:w="1008"/>
        <w:gridCol w:w="1008"/>
        <w:gridCol w:w="1008"/>
        <w:gridCol w:w="1008"/>
      </w:tblGrid>
      <w:tr w:rsidR="00BA0D43" w:rsidTr="00200A92">
        <w:trPr>
          <w:trHeight w:val="576"/>
          <w:jc w:val="center"/>
        </w:trPr>
        <w:tc>
          <w:tcPr>
            <w:tcW w:w="1525" w:type="dxa"/>
            <w:vAlign w:val="center"/>
          </w:tcPr>
          <w:p w:rsidR="00BA0D43" w:rsidRDefault="00BA0D43" w:rsidP="00200A92">
            <w:pPr>
              <w:ind w:firstLine="0"/>
              <w:jc w:val="center"/>
            </w:pPr>
            <w:r w:rsidRPr="004F5D46">
              <w:t>Speed</w:t>
            </w:r>
            <w:r w:rsidR="00CD7A91">
              <w:br/>
            </w:r>
            <w:r w:rsidRPr="00BA0D43">
              <w:t>(MPH)</w:t>
            </w:r>
          </w:p>
        </w:tc>
        <w:tc>
          <w:tcPr>
            <w:tcW w:w="1008" w:type="dxa"/>
            <w:vAlign w:val="center"/>
          </w:tcPr>
          <w:p w:rsidR="00BA0D43" w:rsidRDefault="00BA0D43" w:rsidP="00200A92">
            <w:pPr>
              <w:ind w:firstLine="0"/>
              <w:jc w:val="center"/>
            </w:pPr>
            <w:r w:rsidRPr="004F5D46">
              <w:rPr>
                <w:sz w:val="24"/>
                <w:szCs w:val="24"/>
              </w:rPr>
              <w:t>PSD</w:t>
            </w:r>
            <w:r w:rsidR="00CD7A91">
              <w:br/>
            </w:r>
            <w:r>
              <w:t>(ft)</w:t>
            </w:r>
          </w:p>
        </w:tc>
        <w:tc>
          <w:tcPr>
            <w:tcW w:w="1008" w:type="dxa"/>
            <w:vAlign w:val="center"/>
          </w:tcPr>
          <w:p w:rsidR="00BA0D43" w:rsidRDefault="00BA0D43" w:rsidP="00200A92">
            <w:pPr>
              <w:ind w:firstLine="0"/>
              <w:jc w:val="center"/>
            </w:pPr>
            <w:r w:rsidRPr="00BA0D43">
              <w:t>SSD</w:t>
            </w:r>
            <w:r w:rsidR="00CD7A91">
              <w:br/>
            </w:r>
            <w:r w:rsidRPr="00BA0D43">
              <w:t>(ft)</w:t>
            </w:r>
          </w:p>
        </w:tc>
        <w:tc>
          <w:tcPr>
            <w:tcW w:w="1008" w:type="dxa"/>
            <w:vAlign w:val="center"/>
          </w:tcPr>
          <w:p w:rsidR="00BA0D43" w:rsidRDefault="00BA0D43" w:rsidP="00200A92">
            <w:pPr>
              <w:ind w:firstLine="0"/>
              <w:jc w:val="center"/>
            </w:pPr>
            <w:r w:rsidRPr="004F5D46">
              <w:rPr>
                <w:sz w:val="24"/>
                <w:szCs w:val="24"/>
              </w:rPr>
              <w:t>CSD</w:t>
            </w:r>
            <w:r w:rsidR="00CD7A91">
              <w:br/>
            </w:r>
            <w:r>
              <w:t>(ft)</w:t>
            </w:r>
          </w:p>
        </w:tc>
        <w:tc>
          <w:tcPr>
            <w:tcW w:w="1008" w:type="dxa"/>
            <w:vAlign w:val="center"/>
          </w:tcPr>
          <w:p w:rsidR="00BA0D43" w:rsidRDefault="00BA0D43" w:rsidP="00200A92">
            <w:pPr>
              <w:ind w:firstLine="0"/>
              <w:jc w:val="center"/>
            </w:pPr>
            <w:r>
              <w:rPr>
                <w:sz w:val="24"/>
                <w:szCs w:val="24"/>
              </w:rPr>
              <w:t>A</w:t>
            </w:r>
            <w:r w:rsidRPr="004F5D46">
              <w:rPr>
                <w:sz w:val="24"/>
                <w:szCs w:val="24"/>
              </w:rPr>
              <w:t>SD</w:t>
            </w:r>
            <w:r>
              <w:rPr>
                <w:sz w:val="24"/>
                <w:szCs w:val="24"/>
              </w:rPr>
              <w:t>1</w:t>
            </w:r>
            <w:r w:rsidR="00CD7A91">
              <w:br/>
            </w:r>
            <w:r>
              <w:t>(ft)</w:t>
            </w:r>
          </w:p>
        </w:tc>
        <w:tc>
          <w:tcPr>
            <w:tcW w:w="1008" w:type="dxa"/>
            <w:vAlign w:val="center"/>
          </w:tcPr>
          <w:p w:rsidR="00BA0D43" w:rsidRDefault="00BA0D43" w:rsidP="00200A92">
            <w:pPr>
              <w:ind w:firstLine="0"/>
              <w:jc w:val="center"/>
            </w:pPr>
            <w:r>
              <w:rPr>
                <w:sz w:val="24"/>
                <w:szCs w:val="24"/>
              </w:rPr>
              <w:t>A</w:t>
            </w:r>
            <w:r w:rsidRPr="004F5D46">
              <w:rPr>
                <w:sz w:val="24"/>
                <w:szCs w:val="24"/>
              </w:rPr>
              <w:t>SD</w:t>
            </w:r>
            <w:r>
              <w:rPr>
                <w:sz w:val="24"/>
                <w:szCs w:val="24"/>
              </w:rPr>
              <w:t>2</w:t>
            </w:r>
            <w:r w:rsidR="00CD7A91">
              <w:br/>
            </w:r>
            <w:r>
              <w:t>(ft)</w:t>
            </w:r>
          </w:p>
        </w:tc>
        <w:tc>
          <w:tcPr>
            <w:tcW w:w="1008" w:type="dxa"/>
            <w:vAlign w:val="center"/>
          </w:tcPr>
          <w:p w:rsidR="00BA0D43" w:rsidRDefault="00BA0D43" w:rsidP="00200A92">
            <w:pPr>
              <w:ind w:firstLine="0"/>
              <w:jc w:val="center"/>
            </w:pPr>
            <w:r w:rsidRPr="00BA0D43">
              <w:t>HSD</w:t>
            </w:r>
            <w:r w:rsidR="00CD7A91">
              <w:br/>
            </w:r>
            <w:r w:rsidRPr="00BA0D43">
              <w:t>(ft)</w:t>
            </w:r>
          </w:p>
        </w:tc>
      </w:tr>
      <w:tr w:rsidR="00BA0D43" w:rsidTr="00200A92">
        <w:trPr>
          <w:trHeight w:val="432"/>
          <w:jc w:val="center"/>
        </w:trPr>
        <w:tc>
          <w:tcPr>
            <w:tcW w:w="1525" w:type="dxa"/>
            <w:vAlign w:val="center"/>
          </w:tcPr>
          <w:p w:rsidR="00BA0D43" w:rsidRDefault="00BA0D43" w:rsidP="00200A92">
            <w:pPr>
              <w:ind w:firstLine="0"/>
              <w:jc w:val="center"/>
            </w:pPr>
            <w:r>
              <w:t>20</w:t>
            </w:r>
          </w:p>
        </w:tc>
        <w:tc>
          <w:tcPr>
            <w:tcW w:w="1008" w:type="dxa"/>
            <w:vAlign w:val="center"/>
          </w:tcPr>
          <w:p w:rsidR="00BA0D43" w:rsidRDefault="00BA0D43" w:rsidP="00200A92">
            <w:pPr>
              <w:ind w:firstLine="0"/>
              <w:jc w:val="center"/>
            </w:pPr>
            <w:r>
              <w:t>400</w:t>
            </w:r>
          </w:p>
        </w:tc>
        <w:tc>
          <w:tcPr>
            <w:tcW w:w="1008" w:type="dxa"/>
            <w:vAlign w:val="center"/>
          </w:tcPr>
          <w:p w:rsidR="00BA0D43" w:rsidRDefault="00BA0D43" w:rsidP="00200A92">
            <w:pPr>
              <w:ind w:firstLine="0"/>
              <w:jc w:val="center"/>
            </w:pPr>
            <w:r>
              <w:t>115</w:t>
            </w:r>
          </w:p>
        </w:tc>
        <w:tc>
          <w:tcPr>
            <w:tcW w:w="1008" w:type="dxa"/>
            <w:vAlign w:val="center"/>
          </w:tcPr>
          <w:p w:rsidR="00BA0D43" w:rsidRDefault="00BA0D43" w:rsidP="00200A92">
            <w:pPr>
              <w:ind w:firstLine="0"/>
              <w:jc w:val="center"/>
            </w:pPr>
            <w:r>
              <w:t>230</w:t>
            </w:r>
          </w:p>
        </w:tc>
        <w:tc>
          <w:tcPr>
            <w:tcW w:w="1008" w:type="dxa"/>
            <w:vAlign w:val="center"/>
          </w:tcPr>
          <w:p w:rsidR="00BA0D43" w:rsidRDefault="00BA0D43" w:rsidP="00200A92">
            <w:pPr>
              <w:ind w:firstLine="0"/>
              <w:jc w:val="center"/>
            </w:pPr>
            <w:r>
              <w:t>-</w:t>
            </w:r>
          </w:p>
        </w:tc>
        <w:tc>
          <w:tcPr>
            <w:tcW w:w="1008" w:type="dxa"/>
            <w:vAlign w:val="center"/>
          </w:tcPr>
          <w:p w:rsidR="00BA0D43" w:rsidRDefault="00BA0D43" w:rsidP="00200A92">
            <w:pPr>
              <w:ind w:firstLine="0"/>
              <w:jc w:val="center"/>
            </w:pPr>
            <w:r>
              <w:t>-</w:t>
            </w:r>
          </w:p>
        </w:tc>
        <w:tc>
          <w:tcPr>
            <w:tcW w:w="1008" w:type="dxa"/>
            <w:vAlign w:val="center"/>
          </w:tcPr>
          <w:p w:rsidR="00BA0D43" w:rsidRDefault="00BA0D43" w:rsidP="00200A92">
            <w:pPr>
              <w:ind w:firstLine="0"/>
              <w:jc w:val="center"/>
            </w:pPr>
            <w:r>
              <w:t>427</w:t>
            </w:r>
          </w:p>
        </w:tc>
      </w:tr>
      <w:tr w:rsidR="00BA0D43" w:rsidTr="00200A92">
        <w:trPr>
          <w:trHeight w:val="432"/>
          <w:jc w:val="center"/>
        </w:trPr>
        <w:tc>
          <w:tcPr>
            <w:tcW w:w="1525" w:type="dxa"/>
            <w:vAlign w:val="center"/>
          </w:tcPr>
          <w:p w:rsidR="00BA0D43" w:rsidRDefault="00BA0D43" w:rsidP="00200A92">
            <w:pPr>
              <w:ind w:firstLine="0"/>
              <w:jc w:val="center"/>
            </w:pPr>
            <w:r>
              <w:t>25</w:t>
            </w:r>
          </w:p>
        </w:tc>
        <w:tc>
          <w:tcPr>
            <w:tcW w:w="1008" w:type="dxa"/>
            <w:vAlign w:val="center"/>
          </w:tcPr>
          <w:p w:rsidR="00BA0D43" w:rsidRDefault="00BA0D43" w:rsidP="00200A92">
            <w:pPr>
              <w:ind w:firstLine="0"/>
              <w:jc w:val="center"/>
              <w:rPr>
                <w:b/>
              </w:rPr>
            </w:pPr>
            <w:r>
              <w:t>450</w:t>
            </w:r>
          </w:p>
        </w:tc>
        <w:tc>
          <w:tcPr>
            <w:tcW w:w="1008" w:type="dxa"/>
            <w:vAlign w:val="center"/>
          </w:tcPr>
          <w:p w:rsidR="00BA0D43" w:rsidRDefault="00BA0D43" w:rsidP="00200A92">
            <w:pPr>
              <w:ind w:firstLine="0"/>
              <w:jc w:val="center"/>
            </w:pPr>
            <w:r>
              <w:t>155</w:t>
            </w:r>
          </w:p>
        </w:tc>
        <w:tc>
          <w:tcPr>
            <w:tcW w:w="1008" w:type="dxa"/>
            <w:vAlign w:val="center"/>
          </w:tcPr>
          <w:p w:rsidR="00BA0D43" w:rsidRDefault="00BA0D43" w:rsidP="00200A92">
            <w:pPr>
              <w:ind w:firstLine="0"/>
              <w:jc w:val="center"/>
            </w:pPr>
            <w:r>
              <w:t>310</w:t>
            </w:r>
          </w:p>
        </w:tc>
        <w:tc>
          <w:tcPr>
            <w:tcW w:w="1008" w:type="dxa"/>
            <w:vAlign w:val="center"/>
          </w:tcPr>
          <w:p w:rsidR="00BA0D43" w:rsidRDefault="00BA0D43" w:rsidP="00200A92">
            <w:pPr>
              <w:ind w:firstLine="0"/>
              <w:jc w:val="center"/>
            </w:pPr>
            <w:r>
              <w:t>-</w:t>
            </w:r>
          </w:p>
        </w:tc>
        <w:tc>
          <w:tcPr>
            <w:tcW w:w="1008" w:type="dxa"/>
            <w:vAlign w:val="center"/>
          </w:tcPr>
          <w:p w:rsidR="00BA0D43" w:rsidRDefault="00BA0D43" w:rsidP="00200A92">
            <w:pPr>
              <w:ind w:firstLine="0"/>
              <w:jc w:val="center"/>
            </w:pPr>
            <w:r>
              <w:t>-</w:t>
            </w:r>
          </w:p>
        </w:tc>
        <w:tc>
          <w:tcPr>
            <w:tcW w:w="1008" w:type="dxa"/>
            <w:vAlign w:val="center"/>
          </w:tcPr>
          <w:p w:rsidR="00BA0D43" w:rsidRDefault="00BA0D43" w:rsidP="00200A92">
            <w:pPr>
              <w:ind w:firstLine="0"/>
              <w:jc w:val="center"/>
            </w:pPr>
            <w:r>
              <w:t>427</w:t>
            </w:r>
          </w:p>
        </w:tc>
      </w:tr>
      <w:tr w:rsidR="00BA0D43" w:rsidTr="00200A92">
        <w:trPr>
          <w:trHeight w:val="432"/>
          <w:jc w:val="center"/>
        </w:trPr>
        <w:tc>
          <w:tcPr>
            <w:tcW w:w="1525" w:type="dxa"/>
            <w:vAlign w:val="center"/>
          </w:tcPr>
          <w:p w:rsidR="00BA0D43" w:rsidRDefault="00BA0D43" w:rsidP="00200A92">
            <w:pPr>
              <w:ind w:firstLine="0"/>
              <w:jc w:val="center"/>
            </w:pPr>
            <w:r>
              <w:t>30</w:t>
            </w:r>
          </w:p>
        </w:tc>
        <w:tc>
          <w:tcPr>
            <w:tcW w:w="1008" w:type="dxa"/>
            <w:vAlign w:val="center"/>
          </w:tcPr>
          <w:p w:rsidR="00BA0D43" w:rsidRDefault="00BA0D43" w:rsidP="00200A92">
            <w:pPr>
              <w:ind w:firstLine="0"/>
              <w:jc w:val="center"/>
            </w:pPr>
            <w:r>
              <w:t>500</w:t>
            </w:r>
          </w:p>
        </w:tc>
        <w:tc>
          <w:tcPr>
            <w:tcW w:w="1008" w:type="dxa"/>
            <w:vAlign w:val="center"/>
          </w:tcPr>
          <w:p w:rsidR="00BA0D43" w:rsidRDefault="00BA0D43" w:rsidP="00200A92">
            <w:pPr>
              <w:ind w:firstLine="0"/>
              <w:jc w:val="center"/>
            </w:pPr>
            <w:r>
              <w:t>200</w:t>
            </w:r>
          </w:p>
        </w:tc>
        <w:tc>
          <w:tcPr>
            <w:tcW w:w="1008" w:type="dxa"/>
            <w:vAlign w:val="center"/>
          </w:tcPr>
          <w:p w:rsidR="00BA0D43" w:rsidRDefault="00BA0D43" w:rsidP="00200A92">
            <w:pPr>
              <w:ind w:firstLine="0"/>
              <w:jc w:val="center"/>
            </w:pPr>
            <w:r>
              <w:t>400</w:t>
            </w:r>
          </w:p>
        </w:tc>
        <w:tc>
          <w:tcPr>
            <w:tcW w:w="1008" w:type="dxa"/>
            <w:vAlign w:val="center"/>
          </w:tcPr>
          <w:p w:rsidR="00BA0D43" w:rsidRDefault="00BA0D43" w:rsidP="00200A92">
            <w:pPr>
              <w:ind w:firstLine="0"/>
              <w:jc w:val="center"/>
            </w:pPr>
            <w:r>
              <w:t>440</w:t>
            </w:r>
          </w:p>
        </w:tc>
        <w:tc>
          <w:tcPr>
            <w:tcW w:w="1008" w:type="dxa"/>
            <w:vAlign w:val="center"/>
          </w:tcPr>
          <w:p w:rsidR="00BA0D43" w:rsidRDefault="00BA0D43" w:rsidP="00200A92">
            <w:pPr>
              <w:ind w:firstLine="0"/>
              <w:jc w:val="center"/>
            </w:pPr>
            <w:r>
              <w:t>980</w:t>
            </w:r>
          </w:p>
        </w:tc>
        <w:tc>
          <w:tcPr>
            <w:tcW w:w="1008" w:type="dxa"/>
            <w:vAlign w:val="center"/>
          </w:tcPr>
          <w:p w:rsidR="00BA0D43" w:rsidRDefault="00BA0D43" w:rsidP="00200A92">
            <w:pPr>
              <w:ind w:firstLine="0"/>
              <w:jc w:val="center"/>
            </w:pPr>
            <w:r>
              <w:t>427</w:t>
            </w:r>
          </w:p>
        </w:tc>
      </w:tr>
      <w:tr w:rsidR="00BA0D43" w:rsidTr="00200A92">
        <w:trPr>
          <w:trHeight w:val="432"/>
          <w:jc w:val="center"/>
        </w:trPr>
        <w:tc>
          <w:tcPr>
            <w:tcW w:w="1525" w:type="dxa"/>
            <w:vAlign w:val="center"/>
          </w:tcPr>
          <w:p w:rsidR="00BA0D43" w:rsidRDefault="00BA0D43" w:rsidP="00200A92">
            <w:pPr>
              <w:ind w:firstLine="0"/>
              <w:jc w:val="center"/>
            </w:pPr>
            <w:r>
              <w:t>35</w:t>
            </w:r>
          </w:p>
        </w:tc>
        <w:tc>
          <w:tcPr>
            <w:tcW w:w="1008" w:type="dxa"/>
            <w:vAlign w:val="center"/>
          </w:tcPr>
          <w:p w:rsidR="00BA0D43" w:rsidRDefault="00BA0D43" w:rsidP="00200A92">
            <w:pPr>
              <w:ind w:firstLine="0"/>
              <w:jc w:val="center"/>
            </w:pPr>
            <w:r>
              <w:t>550</w:t>
            </w:r>
          </w:p>
        </w:tc>
        <w:tc>
          <w:tcPr>
            <w:tcW w:w="1008" w:type="dxa"/>
            <w:vAlign w:val="center"/>
          </w:tcPr>
          <w:p w:rsidR="00BA0D43" w:rsidRDefault="00BA0D43" w:rsidP="00200A92">
            <w:pPr>
              <w:ind w:firstLine="0"/>
              <w:jc w:val="center"/>
            </w:pPr>
            <w:r>
              <w:t>250</w:t>
            </w:r>
          </w:p>
        </w:tc>
        <w:tc>
          <w:tcPr>
            <w:tcW w:w="1008" w:type="dxa"/>
            <w:vAlign w:val="center"/>
          </w:tcPr>
          <w:p w:rsidR="00BA0D43" w:rsidRDefault="00BA0D43" w:rsidP="00200A92">
            <w:pPr>
              <w:ind w:firstLine="0"/>
              <w:jc w:val="center"/>
            </w:pPr>
            <w:r>
              <w:t>500</w:t>
            </w:r>
          </w:p>
        </w:tc>
        <w:tc>
          <w:tcPr>
            <w:tcW w:w="1008" w:type="dxa"/>
            <w:vAlign w:val="center"/>
          </w:tcPr>
          <w:p w:rsidR="00BA0D43" w:rsidRDefault="00BA0D43" w:rsidP="00200A92">
            <w:pPr>
              <w:ind w:firstLine="0"/>
              <w:jc w:val="center"/>
            </w:pPr>
            <w:r>
              <w:t>550</w:t>
            </w:r>
          </w:p>
        </w:tc>
        <w:tc>
          <w:tcPr>
            <w:tcW w:w="1008" w:type="dxa"/>
            <w:vAlign w:val="center"/>
          </w:tcPr>
          <w:p w:rsidR="00BA0D43" w:rsidRDefault="00BA0D43" w:rsidP="00200A92">
            <w:pPr>
              <w:ind w:firstLine="0"/>
              <w:jc w:val="center"/>
            </w:pPr>
            <w:r>
              <w:t>1180</w:t>
            </w:r>
          </w:p>
        </w:tc>
        <w:tc>
          <w:tcPr>
            <w:tcW w:w="1008" w:type="dxa"/>
            <w:vAlign w:val="center"/>
          </w:tcPr>
          <w:p w:rsidR="00BA0D43" w:rsidRDefault="00BA0D43" w:rsidP="00200A92">
            <w:pPr>
              <w:ind w:firstLine="0"/>
              <w:jc w:val="center"/>
            </w:pPr>
            <w:r>
              <w:t>427</w:t>
            </w:r>
          </w:p>
        </w:tc>
      </w:tr>
    </w:tbl>
    <w:p w:rsidR="00732DBF" w:rsidRDefault="00732DBF" w:rsidP="00CD7A91"/>
    <w:p w:rsidR="00732DBF" w:rsidRDefault="004F5D46" w:rsidP="00200A92">
      <w:pPr>
        <w:ind w:firstLine="0"/>
      </w:pPr>
      <w:r>
        <w:t>TABLE 1 Notes</w:t>
      </w:r>
      <w:r w:rsidR="00732DBF">
        <w:t>:</w:t>
      </w:r>
    </w:p>
    <w:p w:rsidR="0052058F" w:rsidRDefault="0052058F" w:rsidP="0052058F">
      <w:pPr>
        <w:ind w:firstLine="0"/>
      </w:pPr>
      <w:r>
        <w:t xml:space="preserve">PSD is per Table 3-4 of the 2011 Green Book </w:t>
      </w:r>
      <w:r w:rsidRPr="005F7B14">
        <w:rPr>
          <w:i/>
        </w:rPr>
        <w:t>(</w:t>
      </w:r>
      <w:r>
        <w:rPr>
          <w:i/>
        </w:rPr>
        <w:t>6</w:t>
      </w:r>
      <w:r w:rsidRPr="005F7B14">
        <w:rPr>
          <w:i/>
        </w:rPr>
        <w:t>)</w:t>
      </w:r>
      <w:r>
        <w:t>.</w:t>
      </w:r>
    </w:p>
    <w:p w:rsidR="0052058F" w:rsidRDefault="0052058F" w:rsidP="0052058F">
      <w:pPr>
        <w:ind w:firstLine="0"/>
      </w:pPr>
      <w:r>
        <w:t xml:space="preserve">SSD is per Table 3-1 of the 2011 Green Book </w:t>
      </w:r>
      <w:r w:rsidRPr="0052058F">
        <w:rPr>
          <w:i/>
        </w:rPr>
        <w:t>(6)</w:t>
      </w:r>
      <w:r>
        <w:t>.</w:t>
      </w:r>
    </w:p>
    <w:p w:rsidR="0052058F" w:rsidRDefault="0052058F" w:rsidP="0052058F">
      <w:pPr>
        <w:ind w:firstLine="0"/>
      </w:pPr>
      <w:r>
        <w:t>CSD is equal to twice the SSD with no grade</w:t>
      </w:r>
      <w:r w:rsidRPr="00BB58D3">
        <w:t xml:space="preserve"> </w:t>
      </w:r>
      <w:r>
        <w:t xml:space="preserve">per the Green Book </w:t>
      </w:r>
      <w:r w:rsidRPr="00B12EF9">
        <w:rPr>
          <w:i/>
        </w:rPr>
        <w:t>(6)</w:t>
      </w:r>
      <w:r>
        <w:t>.</w:t>
      </w:r>
    </w:p>
    <w:p w:rsidR="00BB58D3" w:rsidRDefault="00BB58D3" w:rsidP="00200A92">
      <w:pPr>
        <w:ind w:firstLine="0"/>
      </w:pPr>
      <w:r>
        <w:t xml:space="preserve">ASD1 is equal to twice the DSD for full stop in a rural setting per the Green Book </w:t>
      </w:r>
      <w:r w:rsidRPr="00B12EF9">
        <w:rPr>
          <w:i/>
        </w:rPr>
        <w:t>(6)</w:t>
      </w:r>
      <w:r>
        <w:t>.</w:t>
      </w:r>
    </w:p>
    <w:p w:rsidR="00BB58D3" w:rsidRDefault="00BB58D3" w:rsidP="00200A92">
      <w:pPr>
        <w:ind w:firstLine="0"/>
      </w:pPr>
      <w:r>
        <w:t xml:space="preserve">ASD2 is equal to twice the DSD for full stop in an urban setting per the Green Book </w:t>
      </w:r>
      <w:r w:rsidRPr="00B12EF9">
        <w:rPr>
          <w:i/>
        </w:rPr>
        <w:t>(6)</w:t>
      </w:r>
      <w:r>
        <w:t>.</w:t>
      </w:r>
    </w:p>
    <w:p w:rsidR="0052058F" w:rsidRDefault="0052058F" w:rsidP="0052058F">
      <w:pPr>
        <w:ind w:firstLine="0"/>
      </w:pPr>
      <w:r>
        <w:t xml:space="preserve">HSD is per the 1997 NCHRP Report 400 </w:t>
      </w:r>
      <w:r w:rsidRPr="005F7B14">
        <w:rPr>
          <w:i/>
        </w:rPr>
        <w:t>(</w:t>
      </w:r>
      <w:r>
        <w:rPr>
          <w:i/>
        </w:rPr>
        <w:t>10</w:t>
      </w:r>
      <w:r w:rsidRPr="005F7B14">
        <w:rPr>
          <w:i/>
        </w:rPr>
        <w:t>)</w:t>
      </w:r>
      <w:r>
        <w:t>.</w:t>
      </w:r>
    </w:p>
    <w:p w:rsidR="0052058F" w:rsidRDefault="0052058F" w:rsidP="0052058F">
      <w:pPr>
        <w:ind w:firstLine="0"/>
      </w:pPr>
      <w:r>
        <w:t>DSD is not included.</w:t>
      </w:r>
    </w:p>
    <w:p w:rsidR="00732DBF" w:rsidRDefault="00200A92" w:rsidP="0052058F">
      <w:pPr>
        <w:ind w:firstLine="0"/>
      </w:pPr>
      <w:r>
        <w:t>“</w:t>
      </w:r>
      <w:r w:rsidR="00732DBF">
        <w:t>–</w:t>
      </w:r>
      <w:r>
        <w:t>“ indicates the value was not available in the referenced source</w:t>
      </w:r>
      <w:r w:rsidR="00732DBF">
        <w:t xml:space="preserve">. </w:t>
      </w:r>
    </w:p>
    <w:p w:rsidR="00775C4E" w:rsidRDefault="00775C4E" w:rsidP="004F2E7B">
      <w:pPr>
        <w:pStyle w:val="Heading1"/>
      </w:pPr>
      <w:bookmarkStart w:id="2" w:name="_z51hj26tcf5r" w:colFirst="0" w:colLast="0"/>
      <w:bookmarkEnd w:id="2"/>
      <w:r>
        <w:t>DISCUSSION</w:t>
      </w:r>
    </w:p>
    <w:p w:rsidR="00E66C1F" w:rsidRDefault="00E66C1F" w:rsidP="004F2E7B">
      <w:pPr>
        <w:pStyle w:val="Heading2"/>
      </w:pPr>
      <w:r>
        <w:t>Sight Distance Criteria</w:t>
      </w:r>
    </w:p>
    <w:p w:rsidR="00467589" w:rsidRDefault="00CC1D44" w:rsidP="00CD7A91">
      <w:pPr>
        <w:pStyle w:val="NormalAfterSubhead"/>
      </w:pPr>
      <w:r>
        <w:t xml:space="preserve">Both </w:t>
      </w:r>
      <w:r w:rsidR="00467589">
        <w:t>SSD</w:t>
      </w:r>
      <w:r>
        <w:t xml:space="preserve"> and DSD are</w:t>
      </w:r>
      <w:r w:rsidR="00467589">
        <w:t xml:space="preserve"> insufficient to prevent a collision between oncoming vehicles on an ABL</w:t>
      </w:r>
      <w:r>
        <w:t xml:space="preserve"> because the assumption of a stationary threat or condition is violated</w:t>
      </w:r>
      <w:r w:rsidR="00467589">
        <w:t xml:space="preserve">. </w:t>
      </w:r>
      <w:r w:rsidR="000B393B">
        <w:t xml:space="preserve">The </w:t>
      </w:r>
      <w:r w:rsidR="00594872">
        <w:t>ASD</w:t>
      </w:r>
      <w:r>
        <w:t xml:space="preserve"> </w:t>
      </w:r>
      <w:r w:rsidR="000B393B">
        <w:t xml:space="preserve">family of sight distances </w:t>
      </w:r>
      <w:r>
        <w:t xml:space="preserve">provides enough distance for both vehicles to maneuver away from oncoming traffic but incorporates longer pre-maneuver times than an ABL-equipped roadway </w:t>
      </w:r>
      <w:r w:rsidR="000B393B">
        <w:t>may</w:t>
      </w:r>
      <w:r>
        <w:t xml:space="preserve"> require, especially in an urban setting</w:t>
      </w:r>
      <w:r w:rsidR="00467589">
        <w:t xml:space="preserve">. PSD </w:t>
      </w:r>
      <w:r w:rsidR="00BB58D3">
        <w:t>does not reflect</w:t>
      </w:r>
      <w:r w:rsidR="00DD3A00">
        <w:t xml:space="preserve"> </w:t>
      </w:r>
      <w:r w:rsidR="00210255">
        <w:t>operation of an ABL</w:t>
      </w:r>
      <w:r w:rsidR="00DD3A00">
        <w:t xml:space="preserve"> and likely </w:t>
      </w:r>
      <w:r w:rsidR="00467589">
        <w:t xml:space="preserve">produces </w:t>
      </w:r>
      <w:r w:rsidR="00210255">
        <w:t xml:space="preserve">overly-conservative </w:t>
      </w:r>
      <w:r w:rsidR="00467589">
        <w:t xml:space="preserve">values </w:t>
      </w:r>
      <w:r w:rsidR="000B393B">
        <w:t>for its model</w:t>
      </w:r>
      <w:r w:rsidR="00467589">
        <w:t>.</w:t>
      </w:r>
      <w:r>
        <w:t xml:space="preserve"> CSD provides sufficient distance for oncoming vehicles to avoid a collision by stopping but may not provide enough distance for the preferred action which is a shifting maneuver to bypass oncoming traffic.</w:t>
      </w:r>
    </w:p>
    <w:p w:rsidR="00BB58D3" w:rsidRPr="00CD7A91" w:rsidRDefault="00594872" w:rsidP="00CD7A91">
      <w:r w:rsidRPr="00CD7A91">
        <w:t xml:space="preserve">It appears that </w:t>
      </w:r>
      <w:r w:rsidR="00DD3A00" w:rsidRPr="00CD7A91">
        <w:t xml:space="preserve">CSD provides </w:t>
      </w:r>
      <w:r w:rsidRPr="00CD7A91">
        <w:t>a minimum sight distance for an ABL-equipped roadway</w:t>
      </w:r>
      <w:r w:rsidR="00BB58D3" w:rsidRPr="00CD7A91">
        <w:t xml:space="preserve"> since drivers are able to come to a full stop </w:t>
      </w:r>
      <w:r w:rsidR="005B1D49">
        <w:t>before colliding with</w:t>
      </w:r>
      <w:r w:rsidR="00BB58D3" w:rsidRPr="00CD7A91">
        <w:t xml:space="preserve"> oncoming traffic</w:t>
      </w:r>
      <w:r w:rsidR="00DD3A00" w:rsidRPr="00CD7A91">
        <w:t xml:space="preserve">. </w:t>
      </w:r>
    </w:p>
    <w:p w:rsidR="000B393B" w:rsidRDefault="00DD3A00" w:rsidP="00CD7A91">
      <w:r>
        <w:t>A</w:t>
      </w:r>
      <w:r w:rsidR="00594872">
        <w:t xml:space="preserve"> preferred sight distance is one which allows a driver to detect an oncoming vehicle</w:t>
      </w:r>
      <w:r>
        <w:t>, scan the bike lanes for bicyclists, and either maneuver into the bike lane or come to a full stop prior to arrival of the oncoming vehicle.</w:t>
      </w:r>
      <w:r w:rsidR="00BB58D3">
        <w:t xml:space="preserve"> This sight distance does not appear to exist</w:t>
      </w:r>
      <w:r w:rsidR="00210255">
        <w:t xml:space="preserve"> in the literature</w:t>
      </w:r>
      <w:r w:rsidR="00BB58D3">
        <w:t xml:space="preserve">. </w:t>
      </w:r>
    </w:p>
    <w:p w:rsidR="00594872" w:rsidRDefault="00BB58D3" w:rsidP="00CD7A91">
      <w:r>
        <w:lastRenderedPageBreak/>
        <w:t>ASD</w:t>
      </w:r>
      <w:r w:rsidR="00210255">
        <w:t>1 and ASD2 from Table 1</w:t>
      </w:r>
      <w:r>
        <w:t xml:space="preserve"> appear to </w:t>
      </w:r>
      <w:r w:rsidR="000B393B">
        <w:t xml:space="preserve">model the preferred sight distance since </w:t>
      </w:r>
      <w:r w:rsidR="00210255">
        <w:t>their</w:t>
      </w:r>
      <w:r w:rsidR="000B393B">
        <w:t xml:space="preserve"> long</w:t>
      </w:r>
      <w:r w:rsidR="00210255">
        <w:t>er</w:t>
      </w:r>
      <w:r w:rsidR="000B393B">
        <w:t xml:space="preserve"> pre-maneuver times may give drivers sufficient time to scan the bike lanes and decide on a course of action. Without empirical data, this is hard to justify.</w:t>
      </w:r>
    </w:p>
    <w:p w:rsidR="00063471" w:rsidRDefault="00063471" w:rsidP="004F2E7B">
      <w:pPr>
        <w:pStyle w:val="Heading2"/>
      </w:pPr>
      <w:r>
        <w:t>Nighttime Driving Conditions</w:t>
      </w:r>
    </w:p>
    <w:p w:rsidR="00063471" w:rsidRDefault="00063471" w:rsidP="00CD7A91">
      <w:pPr>
        <w:pStyle w:val="NormalAfterSubhead"/>
      </w:pPr>
      <w:r>
        <w:t xml:space="preserve">It is only at the 35 MPH speed that CSD exceeds the HSD, by seventy-three feet. This appears to indicate that nighttime driving at 35 MPH on an ABL-equipped roadway could produce dangerous situations. HSD is defined as the distance at which a driver can detect “a small or low contrast object on an unilluminated roadway”. A vehicle with its headlights on would be detectable at distances significantly greater than the HSD. One could </w:t>
      </w:r>
      <w:r w:rsidR="005B1D49">
        <w:t xml:space="preserve">easily </w:t>
      </w:r>
      <w:r>
        <w:t xml:space="preserve">assume that this would create a safe roadway but additional data would be needed to </w:t>
      </w:r>
      <w:r w:rsidR="005B1D49">
        <w:t>solidify</w:t>
      </w:r>
      <w:r>
        <w:t xml:space="preserve"> that assumption.</w:t>
      </w:r>
    </w:p>
    <w:p w:rsidR="00063471" w:rsidRDefault="00063471" w:rsidP="00CD7A91">
      <w:r>
        <w:t>If one considers the detection of cyclists or pedestrians at night, a comparison of SSD and HSD shows that, at these speeds, SSD is significantly smaller than the HSD. This allows a driver to detect a cyclist or pedestrian and stop before a collision occurs.</w:t>
      </w:r>
    </w:p>
    <w:p w:rsidR="00E66C1F" w:rsidRDefault="00E66C1F" w:rsidP="004F2E7B">
      <w:pPr>
        <w:pStyle w:val="Heading2"/>
      </w:pPr>
      <w:r>
        <w:t>Research</w:t>
      </w:r>
    </w:p>
    <w:p w:rsidR="00E66C1F" w:rsidRPr="00E66C1F" w:rsidRDefault="00E66C1F" w:rsidP="00CD7A91">
      <w:pPr>
        <w:pStyle w:val="NormalAfterSubhead"/>
      </w:pPr>
      <w:r>
        <w:t xml:space="preserve">Very little study has been performed on this facility in the U.S. or Canada. The lack of a sight distance criterion is just one symptom of </w:t>
      </w:r>
      <w:r w:rsidR="00FC65C8">
        <w:t>this deficiency. Other areas needing study include center lane width, appropriate speeds and volumes for ABL siting, preferred intersection treatments, etc.</w:t>
      </w:r>
    </w:p>
    <w:p w:rsidR="00775C4E" w:rsidRDefault="00775C4E" w:rsidP="004F2E7B">
      <w:pPr>
        <w:pStyle w:val="Heading1"/>
      </w:pPr>
      <w:r>
        <w:t>Conclusion</w:t>
      </w:r>
    </w:p>
    <w:p w:rsidR="00530B81" w:rsidRDefault="00467589" w:rsidP="00CD7A91">
      <w:pPr>
        <w:pStyle w:val="NormalAfterSubhead"/>
      </w:pPr>
      <w:r>
        <w:t xml:space="preserve">Collision Sight Distance appears to be </w:t>
      </w:r>
      <w:r w:rsidR="00530B81">
        <w:t>a minimal</w:t>
      </w:r>
      <w:r>
        <w:t xml:space="preserve"> sight distance criterion for an ABL-equipped roadway. </w:t>
      </w:r>
      <w:r w:rsidR="00775C4E">
        <w:t xml:space="preserve">Collision Sight Distance is derived from an actual, worst-case road scenario and provides a safety margin for avoiding head-on vehicular collisions on an ABL. </w:t>
      </w:r>
    </w:p>
    <w:p w:rsidR="00775C4E" w:rsidRDefault="00530B81" w:rsidP="00CD7A91">
      <w:r>
        <w:t xml:space="preserve">What does not appear to exist is a sight distance criterion which fully supports the preferred operation of </w:t>
      </w:r>
      <w:r w:rsidR="005B1D49">
        <w:t xml:space="preserve">a motorist on </w:t>
      </w:r>
      <w:r>
        <w:t>an ABL. This sight distance should provide time and distance for oncoming drivers to detect each other, scan the bike lane, and choose an appropriate response be it a maneuver into the bike lane, a full stop or to slow until a maneuver can occur. Avoidance Sight Distance may come close to meeting this need but is not based on a</w:t>
      </w:r>
      <w:r w:rsidR="000B393B">
        <w:t>n actual ABL</w:t>
      </w:r>
      <w:r>
        <w:t xml:space="preserve"> scenario. </w:t>
      </w:r>
    </w:p>
    <w:p w:rsidR="00530B81" w:rsidRDefault="00530B81" w:rsidP="00CD7A91">
      <w:r>
        <w:t>Research into an appropriate sigh</w:t>
      </w:r>
      <w:r w:rsidR="00BA0D43">
        <w:t>t distance for an ABL is needed.</w:t>
      </w:r>
    </w:p>
    <w:p w:rsidR="00BD38B4" w:rsidRDefault="0097781B" w:rsidP="00CD7A91">
      <w:r>
        <w:t xml:space="preserve">Given the paucity of study of this facility </w:t>
      </w:r>
      <w:r w:rsidR="00FC65C8">
        <w:t>in</w:t>
      </w:r>
      <w:r>
        <w:t xml:space="preserve"> the North American context and its </w:t>
      </w:r>
      <w:r w:rsidR="00467589">
        <w:t>potential for wide</w:t>
      </w:r>
      <w:r w:rsidR="00FC65C8">
        <w:t>spread</w:t>
      </w:r>
      <w:r w:rsidR="00467589">
        <w:t xml:space="preserve"> application</w:t>
      </w:r>
      <w:r>
        <w:t>, more discussion and study</w:t>
      </w:r>
      <w:r w:rsidR="005B1D49">
        <w:t xml:space="preserve"> of this facility</w:t>
      </w:r>
      <w:r>
        <w:t xml:space="preserve"> is warranted.</w:t>
      </w:r>
      <w:r w:rsidR="00BD38B4">
        <w:br w:type="page"/>
      </w:r>
    </w:p>
    <w:p w:rsidR="00732DBF" w:rsidRDefault="00BD38B4" w:rsidP="004F2E7B">
      <w:pPr>
        <w:pStyle w:val="Heading1"/>
      </w:pPr>
      <w:r>
        <w:lastRenderedPageBreak/>
        <w:t>References</w:t>
      </w:r>
    </w:p>
    <w:p w:rsidR="000A6878" w:rsidRPr="007C4956" w:rsidRDefault="009912A8" w:rsidP="00CD7A91">
      <w:pPr>
        <w:pStyle w:val="ListParagraph"/>
        <w:numPr>
          <w:ilvl w:val="0"/>
          <w:numId w:val="7"/>
        </w:numPr>
      </w:pPr>
      <w:r w:rsidRPr="007C4956">
        <w:t xml:space="preserve">Alta Planning + Design, Small Urban and Rural Livability Center, </w:t>
      </w:r>
      <w:r w:rsidR="00151F1D" w:rsidRPr="007C4956">
        <w:t xml:space="preserve">and </w:t>
      </w:r>
      <w:r w:rsidRPr="007C4956">
        <w:t>National Association of Counties.</w:t>
      </w:r>
      <w:r w:rsidR="00696713" w:rsidRPr="007C4956">
        <w:t xml:space="preserve"> </w:t>
      </w:r>
      <w:r w:rsidR="00BA5333" w:rsidRPr="007C4956">
        <w:rPr>
          <w:i/>
        </w:rPr>
        <w:t>Small Town and Rural Multimodal Networks Guide</w:t>
      </w:r>
      <w:r w:rsidR="00AE728B" w:rsidRPr="007C4956">
        <w:t>. Federal Highway Administration. December, 2016.</w:t>
      </w:r>
      <w:r w:rsidR="000A6878" w:rsidRPr="007C4956">
        <w:t xml:space="preserve"> Report Number: FHWA-HEP-17-024.</w:t>
      </w:r>
    </w:p>
    <w:p w:rsidR="008263E6" w:rsidRPr="007C4956" w:rsidRDefault="008263E6" w:rsidP="00CD7A91">
      <w:pPr>
        <w:pStyle w:val="ListParagraph"/>
        <w:numPr>
          <w:ilvl w:val="0"/>
          <w:numId w:val="7"/>
        </w:numPr>
      </w:pPr>
      <w:r w:rsidRPr="007C4956">
        <w:t xml:space="preserve">Gilpin, J., Falbo, N., Williams, M. </w:t>
      </w:r>
      <w:r w:rsidRPr="007C4956">
        <w:rPr>
          <w:i/>
        </w:rPr>
        <w:t xml:space="preserve">Lessons Learned: Advisory Bike Lanes in North America. </w:t>
      </w:r>
      <w:r w:rsidRPr="007C4956">
        <w:t xml:space="preserve">Alta Planning + Design. </w:t>
      </w:r>
      <w:hyperlink r:id="rId12" w:tgtFrame="_blank" w:history="1">
        <w:r w:rsidRPr="007C4956">
          <w:t>http://altaprojects.net/docs/alta_whitepaper.pdf</w:t>
        </w:r>
      </w:hyperlink>
      <w:r w:rsidRPr="007C4956">
        <w:t>. July 2017.</w:t>
      </w:r>
    </w:p>
    <w:p w:rsidR="00BA5333" w:rsidRPr="007C4956" w:rsidRDefault="00C9660C" w:rsidP="00CD7A91">
      <w:pPr>
        <w:pStyle w:val="ListParagraph"/>
        <w:numPr>
          <w:ilvl w:val="0"/>
          <w:numId w:val="7"/>
        </w:numPr>
      </w:pPr>
      <w:r w:rsidRPr="007C4956">
        <w:rPr>
          <w:i/>
        </w:rPr>
        <w:t xml:space="preserve">SWOV Fact Sheet: Edge strips on rural access roads. </w:t>
      </w:r>
      <w:r w:rsidRPr="007C4956">
        <w:t>SWOV Institute for Road Safety Research, Liedschendam, the Netherlands. Accessed April 8, 2017.</w:t>
      </w:r>
    </w:p>
    <w:p w:rsidR="00BA5333" w:rsidRPr="007C4956" w:rsidRDefault="00C9660C" w:rsidP="00CD7A91">
      <w:pPr>
        <w:pStyle w:val="ListParagraph"/>
        <w:numPr>
          <w:ilvl w:val="0"/>
          <w:numId w:val="7"/>
        </w:numPr>
      </w:pPr>
      <w:r w:rsidRPr="007C4956">
        <w:rPr>
          <w:i/>
        </w:rPr>
        <w:t xml:space="preserve">Design manual for bicycle traffic. </w:t>
      </w:r>
      <w:r w:rsidRPr="007C4956">
        <w:t>CROW (Center for Regulation and Research in Ground, Water and Road Construction and Traffic Engineering), the Netherlands. December, 2016.</w:t>
      </w:r>
    </w:p>
    <w:p w:rsidR="00BA5333" w:rsidRPr="007C4956" w:rsidRDefault="00151F1D" w:rsidP="00CD7A91">
      <w:pPr>
        <w:pStyle w:val="ListParagraph"/>
        <w:numPr>
          <w:ilvl w:val="0"/>
          <w:numId w:val="7"/>
        </w:numPr>
      </w:pPr>
      <w:r w:rsidRPr="007C4956">
        <w:t>FHWA</w:t>
      </w:r>
      <w:r w:rsidR="009912A8" w:rsidRPr="007C4956">
        <w:t xml:space="preserve">. </w:t>
      </w:r>
      <w:r w:rsidR="00AE728B" w:rsidRPr="007C4956">
        <w:rPr>
          <w:i/>
        </w:rPr>
        <w:t>Dashed Bicycle Lanes</w:t>
      </w:r>
      <w:r w:rsidR="00AE728B" w:rsidRPr="007C4956">
        <w:t>. Federal Highway Administration. https://www.fhwa.dot.gov/environment/bicycle_pedestrian/guidance/mutcd/dashed_bike_lanes.cfm. Accessed May 17, 2017.</w:t>
      </w:r>
      <w:r w:rsidR="00F1208F" w:rsidRPr="007C4956">
        <w:t xml:space="preserve"> </w:t>
      </w:r>
    </w:p>
    <w:p w:rsidR="00BA5333" w:rsidRPr="007C4956" w:rsidRDefault="00151F1D" w:rsidP="00CD7A91">
      <w:pPr>
        <w:pStyle w:val="ListParagraph"/>
        <w:numPr>
          <w:ilvl w:val="0"/>
          <w:numId w:val="7"/>
        </w:numPr>
      </w:pPr>
      <w:r w:rsidRPr="007C4956">
        <w:t xml:space="preserve">AASHTO. </w:t>
      </w:r>
      <w:r w:rsidR="00BA5333" w:rsidRPr="007C4956">
        <w:rPr>
          <w:i/>
        </w:rPr>
        <w:t>A Policy on Geometric Design of Highways and Streets</w:t>
      </w:r>
      <w:r w:rsidR="00AE728B" w:rsidRPr="007C4956">
        <w:t xml:space="preserve">. </w:t>
      </w:r>
      <w:r w:rsidRPr="007C4956">
        <w:t xml:space="preserve">American Association of State Highway Transportation Officials. </w:t>
      </w:r>
      <w:r w:rsidR="00AE728B" w:rsidRPr="007C4956">
        <w:t>2011.</w:t>
      </w:r>
    </w:p>
    <w:p w:rsidR="00716801" w:rsidRPr="007C4956" w:rsidRDefault="00151F1D" w:rsidP="00CD7A91">
      <w:pPr>
        <w:pStyle w:val="ListParagraph"/>
        <w:numPr>
          <w:ilvl w:val="0"/>
          <w:numId w:val="7"/>
        </w:numPr>
      </w:pPr>
      <w:r w:rsidRPr="007C4956">
        <w:t xml:space="preserve">AASHTO. </w:t>
      </w:r>
      <w:r w:rsidR="00716801" w:rsidRPr="007C4956">
        <w:rPr>
          <w:i/>
        </w:rPr>
        <w:t>Guide for the Development of Bicycle Facilities, Fourth Edition.</w:t>
      </w:r>
      <w:r w:rsidR="00716801" w:rsidRPr="007C4956">
        <w:t xml:space="preserve"> </w:t>
      </w:r>
      <w:r w:rsidRPr="007C4956">
        <w:t xml:space="preserve">American Association of State Highway Transportation Officials. </w:t>
      </w:r>
      <w:r w:rsidR="00716801" w:rsidRPr="007C4956">
        <w:t>2012. ISBN: 978-1-56051-527-2.</w:t>
      </w:r>
    </w:p>
    <w:p w:rsidR="00BA5333" w:rsidRPr="007C4956" w:rsidRDefault="00360160" w:rsidP="00CD7A91">
      <w:pPr>
        <w:pStyle w:val="ListParagraph"/>
        <w:numPr>
          <w:ilvl w:val="0"/>
          <w:numId w:val="7"/>
        </w:numPr>
      </w:pPr>
      <w:r w:rsidRPr="007C4956">
        <w:t>FHWA</w:t>
      </w:r>
      <w:r w:rsidR="00151F1D" w:rsidRPr="007C4956">
        <w:rPr>
          <w:i/>
        </w:rPr>
        <w:t>.</w:t>
      </w:r>
      <w:r w:rsidRPr="007C4956">
        <w:rPr>
          <w:i/>
        </w:rPr>
        <w:t xml:space="preserve"> </w:t>
      </w:r>
      <w:r w:rsidR="00BA5333" w:rsidRPr="007C4956">
        <w:rPr>
          <w:i/>
        </w:rPr>
        <w:t>M</w:t>
      </w:r>
      <w:r w:rsidRPr="007C4956">
        <w:rPr>
          <w:i/>
        </w:rPr>
        <w:t xml:space="preserve">anual on </w:t>
      </w:r>
      <w:r w:rsidR="00BA5333" w:rsidRPr="007C4956">
        <w:rPr>
          <w:i/>
        </w:rPr>
        <w:t>U</w:t>
      </w:r>
      <w:r w:rsidRPr="007C4956">
        <w:rPr>
          <w:i/>
        </w:rPr>
        <w:t xml:space="preserve">niform </w:t>
      </w:r>
      <w:r w:rsidR="00BA5333" w:rsidRPr="007C4956">
        <w:rPr>
          <w:i/>
        </w:rPr>
        <w:t>T</w:t>
      </w:r>
      <w:r w:rsidRPr="007C4956">
        <w:rPr>
          <w:i/>
        </w:rPr>
        <w:t xml:space="preserve">raffic </w:t>
      </w:r>
      <w:r w:rsidR="00BA5333" w:rsidRPr="007C4956">
        <w:rPr>
          <w:i/>
        </w:rPr>
        <w:t>C</w:t>
      </w:r>
      <w:r w:rsidRPr="007C4956">
        <w:rPr>
          <w:i/>
        </w:rPr>
        <w:t xml:space="preserve">ontrol </w:t>
      </w:r>
      <w:r w:rsidR="00BA5333" w:rsidRPr="007C4956">
        <w:rPr>
          <w:i/>
        </w:rPr>
        <w:t>D</w:t>
      </w:r>
      <w:r w:rsidRPr="007C4956">
        <w:rPr>
          <w:i/>
        </w:rPr>
        <w:t>evices.</w:t>
      </w:r>
      <w:r w:rsidRPr="007C4956">
        <w:t xml:space="preserve"> Federal Highway Administration. </w:t>
      </w:r>
      <w:r w:rsidR="00151F1D" w:rsidRPr="007C4956">
        <w:t xml:space="preserve">U.S. Department of Transportation, Washington, DC. </w:t>
      </w:r>
      <w:r w:rsidRPr="007C4956">
        <w:t>2009.</w:t>
      </w:r>
    </w:p>
    <w:p w:rsidR="005F7B14" w:rsidRPr="007C4956" w:rsidRDefault="00151F1D" w:rsidP="00CD7A91">
      <w:pPr>
        <w:pStyle w:val="ListParagraph"/>
        <w:numPr>
          <w:ilvl w:val="0"/>
          <w:numId w:val="7"/>
        </w:numPr>
      </w:pPr>
      <w:r w:rsidRPr="007C4956">
        <w:t xml:space="preserve">AASHTO. </w:t>
      </w:r>
      <w:r w:rsidR="005F7B14" w:rsidRPr="007C4956">
        <w:rPr>
          <w:i/>
        </w:rPr>
        <w:t>Guidelines for Geometric Design of Very Low-Volume Local Roads</w:t>
      </w:r>
      <w:r w:rsidR="00360160" w:rsidRPr="007C4956">
        <w:rPr>
          <w:i/>
        </w:rPr>
        <w:t>.</w:t>
      </w:r>
      <w:r w:rsidR="00360160" w:rsidRPr="007C4956">
        <w:t xml:space="preserve"> </w:t>
      </w:r>
      <w:r w:rsidRPr="007C4956">
        <w:t xml:space="preserve">American Association of State Highway Transportation Officials. </w:t>
      </w:r>
      <w:r w:rsidR="00360160" w:rsidRPr="007C4956">
        <w:t>2001.</w:t>
      </w:r>
    </w:p>
    <w:p w:rsidR="00716801" w:rsidRPr="007C4956" w:rsidRDefault="00716801" w:rsidP="00CD7A91">
      <w:pPr>
        <w:pStyle w:val="ListParagraph"/>
        <w:numPr>
          <w:ilvl w:val="0"/>
          <w:numId w:val="7"/>
        </w:numPr>
      </w:pPr>
      <w:r w:rsidRPr="007C4956">
        <w:t xml:space="preserve">Fambro, D.B., Fitzpatrick, K., Rodger, J.K. </w:t>
      </w:r>
      <w:r w:rsidRPr="007C4956">
        <w:rPr>
          <w:i/>
        </w:rPr>
        <w:t>NCHRP Report 400: Determination of Stopping Sight Distances</w:t>
      </w:r>
      <w:r w:rsidRPr="007C4956">
        <w:t>. Transportation Research Board, Washington, D.C., 1997.</w:t>
      </w:r>
    </w:p>
    <w:sectPr w:rsidR="00716801" w:rsidRPr="007C4956" w:rsidSect="00826280">
      <w:headerReference w:type="default" r:id="rId13"/>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460" w:rsidRDefault="002F0460" w:rsidP="00CD7A91">
      <w:r>
        <w:separator/>
      </w:r>
    </w:p>
  </w:endnote>
  <w:endnote w:type="continuationSeparator" w:id="0">
    <w:p w:rsidR="002F0460" w:rsidRDefault="002F0460" w:rsidP="00CD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460" w:rsidRDefault="002F0460" w:rsidP="00CD7A91">
      <w:r>
        <w:separator/>
      </w:r>
    </w:p>
  </w:footnote>
  <w:footnote w:type="continuationSeparator" w:id="0">
    <w:p w:rsidR="002F0460" w:rsidRDefault="002F0460" w:rsidP="00CD7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095" w:rsidRDefault="00200095" w:rsidP="00200A92">
    <w:pPr>
      <w:pStyle w:val="Header"/>
      <w:ind w:firstLine="0"/>
    </w:pPr>
    <w:r>
      <w:t>Michael Williams</w:t>
    </w:r>
    <w:r>
      <w:tab/>
    </w:r>
    <w:r>
      <w:tab/>
    </w:r>
    <w:sdt>
      <w:sdtPr>
        <w:id w:val="1307576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C4ADC">
          <w:rPr>
            <w:noProof/>
          </w:rPr>
          <w:t>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5DBA"/>
    <w:multiLevelType w:val="hybridMultilevel"/>
    <w:tmpl w:val="30BE5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65A85"/>
    <w:multiLevelType w:val="hybridMultilevel"/>
    <w:tmpl w:val="AD681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11926"/>
    <w:multiLevelType w:val="hybridMultilevel"/>
    <w:tmpl w:val="EE36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A47C2"/>
    <w:multiLevelType w:val="hybridMultilevel"/>
    <w:tmpl w:val="30BE5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27898"/>
    <w:multiLevelType w:val="hybridMultilevel"/>
    <w:tmpl w:val="83D63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E42965"/>
    <w:multiLevelType w:val="multilevel"/>
    <w:tmpl w:val="85FCA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8511CE2"/>
    <w:multiLevelType w:val="multilevel"/>
    <w:tmpl w:val="82D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36"/>
    <w:rsid w:val="00003D00"/>
    <w:rsid w:val="00005944"/>
    <w:rsid w:val="00006940"/>
    <w:rsid w:val="000158BC"/>
    <w:rsid w:val="00017314"/>
    <w:rsid w:val="0003206F"/>
    <w:rsid w:val="00033512"/>
    <w:rsid w:val="00033519"/>
    <w:rsid w:val="00035BFC"/>
    <w:rsid w:val="000420D2"/>
    <w:rsid w:val="00042EE2"/>
    <w:rsid w:val="00050FA1"/>
    <w:rsid w:val="00051BC1"/>
    <w:rsid w:val="0005526B"/>
    <w:rsid w:val="00055F4C"/>
    <w:rsid w:val="00060770"/>
    <w:rsid w:val="00063471"/>
    <w:rsid w:val="0006682F"/>
    <w:rsid w:val="00067BBF"/>
    <w:rsid w:val="0007136A"/>
    <w:rsid w:val="00077517"/>
    <w:rsid w:val="00080A8B"/>
    <w:rsid w:val="00083F5E"/>
    <w:rsid w:val="00086F73"/>
    <w:rsid w:val="0009015A"/>
    <w:rsid w:val="000913AC"/>
    <w:rsid w:val="0009468D"/>
    <w:rsid w:val="00094FDC"/>
    <w:rsid w:val="0009548A"/>
    <w:rsid w:val="000A068E"/>
    <w:rsid w:val="000A0F9C"/>
    <w:rsid w:val="000A473D"/>
    <w:rsid w:val="000A4A6C"/>
    <w:rsid w:val="000A6878"/>
    <w:rsid w:val="000A7FE8"/>
    <w:rsid w:val="000B0E10"/>
    <w:rsid w:val="000B3401"/>
    <w:rsid w:val="000B393B"/>
    <w:rsid w:val="000B5C9C"/>
    <w:rsid w:val="000C6227"/>
    <w:rsid w:val="000E1001"/>
    <w:rsid w:val="000E68BA"/>
    <w:rsid w:val="000F39A2"/>
    <w:rsid w:val="000F4E89"/>
    <w:rsid w:val="000F547A"/>
    <w:rsid w:val="00102459"/>
    <w:rsid w:val="00103899"/>
    <w:rsid w:val="00104FF5"/>
    <w:rsid w:val="001119A1"/>
    <w:rsid w:val="00111B64"/>
    <w:rsid w:val="0011241D"/>
    <w:rsid w:val="00113FC6"/>
    <w:rsid w:val="0011621C"/>
    <w:rsid w:val="00117033"/>
    <w:rsid w:val="00121C8A"/>
    <w:rsid w:val="00125EE8"/>
    <w:rsid w:val="001261EB"/>
    <w:rsid w:val="00126672"/>
    <w:rsid w:val="001406E2"/>
    <w:rsid w:val="00146169"/>
    <w:rsid w:val="00147BAD"/>
    <w:rsid w:val="001512D6"/>
    <w:rsid w:val="00151F1D"/>
    <w:rsid w:val="0015554B"/>
    <w:rsid w:val="001647A6"/>
    <w:rsid w:val="0016535A"/>
    <w:rsid w:val="00167DFE"/>
    <w:rsid w:val="00170876"/>
    <w:rsid w:val="001713FE"/>
    <w:rsid w:val="0018250C"/>
    <w:rsid w:val="00187C82"/>
    <w:rsid w:val="0019232D"/>
    <w:rsid w:val="00192B5F"/>
    <w:rsid w:val="00193955"/>
    <w:rsid w:val="001A0715"/>
    <w:rsid w:val="001A1B38"/>
    <w:rsid w:val="001A5423"/>
    <w:rsid w:val="001A5892"/>
    <w:rsid w:val="001A76AF"/>
    <w:rsid w:val="001A7A1C"/>
    <w:rsid w:val="001B0635"/>
    <w:rsid w:val="001B36B2"/>
    <w:rsid w:val="001B47FC"/>
    <w:rsid w:val="001B611C"/>
    <w:rsid w:val="001B777E"/>
    <w:rsid w:val="001C062B"/>
    <w:rsid w:val="001C1869"/>
    <w:rsid w:val="001C2EEF"/>
    <w:rsid w:val="001C5160"/>
    <w:rsid w:val="001D05CF"/>
    <w:rsid w:val="001D31D3"/>
    <w:rsid w:val="001D6820"/>
    <w:rsid w:val="001D692D"/>
    <w:rsid w:val="001D740C"/>
    <w:rsid w:val="001D74AB"/>
    <w:rsid w:val="001E0858"/>
    <w:rsid w:val="001E0939"/>
    <w:rsid w:val="001E129C"/>
    <w:rsid w:val="001E147D"/>
    <w:rsid w:val="001E15AE"/>
    <w:rsid w:val="001E436E"/>
    <w:rsid w:val="001F09AE"/>
    <w:rsid w:val="001F0D98"/>
    <w:rsid w:val="001F5C5A"/>
    <w:rsid w:val="001F70D7"/>
    <w:rsid w:val="00200095"/>
    <w:rsid w:val="00200A92"/>
    <w:rsid w:val="00201C13"/>
    <w:rsid w:val="002023C2"/>
    <w:rsid w:val="002027C8"/>
    <w:rsid w:val="00207001"/>
    <w:rsid w:val="0020779D"/>
    <w:rsid w:val="00210255"/>
    <w:rsid w:val="00210A28"/>
    <w:rsid w:val="00221917"/>
    <w:rsid w:val="0022551F"/>
    <w:rsid w:val="00235A89"/>
    <w:rsid w:val="002366CE"/>
    <w:rsid w:val="00237F12"/>
    <w:rsid w:val="002459D6"/>
    <w:rsid w:val="00246CB5"/>
    <w:rsid w:val="00252CFE"/>
    <w:rsid w:val="002533FA"/>
    <w:rsid w:val="00254555"/>
    <w:rsid w:val="00254911"/>
    <w:rsid w:val="00255914"/>
    <w:rsid w:val="002563B6"/>
    <w:rsid w:val="00260248"/>
    <w:rsid w:val="00260D54"/>
    <w:rsid w:val="00267C7B"/>
    <w:rsid w:val="00270008"/>
    <w:rsid w:val="00273ED7"/>
    <w:rsid w:val="00280539"/>
    <w:rsid w:val="00281D5C"/>
    <w:rsid w:val="002917E0"/>
    <w:rsid w:val="00291B79"/>
    <w:rsid w:val="00292D1F"/>
    <w:rsid w:val="00294341"/>
    <w:rsid w:val="00295980"/>
    <w:rsid w:val="00295A23"/>
    <w:rsid w:val="00297C17"/>
    <w:rsid w:val="002A53B4"/>
    <w:rsid w:val="002B6942"/>
    <w:rsid w:val="002B7C1D"/>
    <w:rsid w:val="002C04A3"/>
    <w:rsid w:val="002C205C"/>
    <w:rsid w:val="002C6567"/>
    <w:rsid w:val="002D07B1"/>
    <w:rsid w:val="002D365B"/>
    <w:rsid w:val="002D4254"/>
    <w:rsid w:val="002D5814"/>
    <w:rsid w:val="002E3011"/>
    <w:rsid w:val="002E319B"/>
    <w:rsid w:val="002E375D"/>
    <w:rsid w:val="002E4CD3"/>
    <w:rsid w:val="002E7AE1"/>
    <w:rsid w:val="002E7E96"/>
    <w:rsid w:val="002F0460"/>
    <w:rsid w:val="002F07C5"/>
    <w:rsid w:val="00301829"/>
    <w:rsid w:val="003054D6"/>
    <w:rsid w:val="003110AE"/>
    <w:rsid w:val="0031201E"/>
    <w:rsid w:val="003136C4"/>
    <w:rsid w:val="0031408C"/>
    <w:rsid w:val="0031427B"/>
    <w:rsid w:val="003162E2"/>
    <w:rsid w:val="00316525"/>
    <w:rsid w:val="003166E3"/>
    <w:rsid w:val="00316789"/>
    <w:rsid w:val="00322981"/>
    <w:rsid w:val="00323D55"/>
    <w:rsid w:val="00324C6A"/>
    <w:rsid w:val="00327A88"/>
    <w:rsid w:val="003334CD"/>
    <w:rsid w:val="00333C2C"/>
    <w:rsid w:val="0034071C"/>
    <w:rsid w:val="00343CC7"/>
    <w:rsid w:val="003444B4"/>
    <w:rsid w:val="00345B58"/>
    <w:rsid w:val="00346B7A"/>
    <w:rsid w:val="0034743E"/>
    <w:rsid w:val="003523CE"/>
    <w:rsid w:val="00354509"/>
    <w:rsid w:val="00360160"/>
    <w:rsid w:val="003601D6"/>
    <w:rsid w:val="00366D08"/>
    <w:rsid w:val="00367693"/>
    <w:rsid w:val="00374B8D"/>
    <w:rsid w:val="00374FC9"/>
    <w:rsid w:val="00376098"/>
    <w:rsid w:val="00377B85"/>
    <w:rsid w:val="003908E4"/>
    <w:rsid w:val="003948A8"/>
    <w:rsid w:val="003A15D8"/>
    <w:rsid w:val="003A5106"/>
    <w:rsid w:val="003A64AE"/>
    <w:rsid w:val="003B0817"/>
    <w:rsid w:val="003B1678"/>
    <w:rsid w:val="003B29E0"/>
    <w:rsid w:val="003B61A6"/>
    <w:rsid w:val="003B67BD"/>
    <w:rsid w:val="003C7412"/>
    <w:rsid w:val="003D2863"/>
    <w:rsid w:val="003D4DC1"/>
    <w:rsid w:val="003E73B4"/>
    <w:rsid w:val="003F018C"/>
    <w:rsid w:val="003F0A2D"/>
    <w:rsid w:val="003F217A"/>
    <w:rsid w:val="003F2D30"/>
    <w:rsid w:val="003F4132"/>
    <w:rsid w:val="003F4740"/>
    <w:rsid w:val="003F7C47"/>
    <w:rsid w:val="00401000"/>
    <w:rsid w:val="00407E8C"/>
    <w:rsid w:val="004109ED"/>
    <w:rsid w:val="004122D7"/>
    <w:rsid w:val="00417C8E"/>
    <w:rsid w:val="00421200"/>
    <w:rsid w:val="00421682"/>
    <w:rsid w:val="00421D9A"/>
    <w:rsid w:val="004221A8"/>
    <w:rsid w:val="00426F45"/>
    <w:rsid w:val="0042745B"/>
    <w:rsid w:val="00442E6A"/>
    <w:rsid w:val="00447A53"/>
    <w:rsid w:val="00450F1F"/>
    <w:rsid w:val="00456EE5"/>
    <w:rsid w:val="00461B3B"/>
    <w:rsid w:val="00464392"/>
    <w:rsid w:val="00465E9E"/>
    <w:rsid w:val="00467589"/>
    <w:rsid w:val="00472019"/>
    <w:rsid w:val="004724CC"/>
    <w:rsid w:val="00473A2D"/>
    <w:rsid w:val="00474DBB"/>
    <w:rsid w:val="0047581D"/>
    <w:rsid w:val="00475AAD"/>
    <w:rsid w:val="00477463"/>
    <w:rsid w:val="004801D8"/>
    <w:rsid w:val="0048270D"/>
    <w:rsid w:val="004831B5"/>
    <w:rsid w:val="00485057"/>
    <w:rsid w:val="00485E1E"/>
    <w:rsid w:val="00487828"/>
    <w:rsid w:val="00490258"/>
    <w:rsid w:val="00496907"/>
    <w:rsid w:val="004A0404"/>
    <w:rsid w:val="004A043A"/>
    <w:rsid w:val="004A176E"/>
    <w:rsid w:val="004A1916"/>
    <w:rsid w:val="004A33F9"/>
    <w:rsid w:val="004B49B2"/>
    <w:rsid w:val="004B66C0"/>
    <w:rsid w:val="004C1C29"/>
    <w:rsid w:val="004D16E4"/>
    <w:rsid w:val="004D4758"/>
    <w:rsid w:val="004D76BA"/>
    <w:rsid w:val="004E0045"/>
    <w:rsid w:val="004E4D8A"/>
    <w:rsid w:val="004F1D16"/>
    <w:rsid w:val="004F240B"/>
    <w:rsid w:val="004F2E7B"/>
    <w:rsid w:val="004F5D46"/>
    <w:rsid w:val="00502548"/>
    <w:rsid w:val="0051166E"/>
    <w:rsid w:val="0052058F"/>
    <w:rsid w:val="00521C00"/>
    <w:rsid w:val="0052668B"/>
    <w:rsid w:val="00526C91"/>
    <w:rsid w:val="00530B81"/>
    <w:rsid w:val="00531069"/>
    <w:rsid w:val="005353B9"/>
    <w:rsid w:val="005443D4"/>
    <w:rsid w:val="005459A2"/>
    <w:rsid w:val="00547B75"/>
    <w:rsid w:val="00547D3C"/>
    <w:rsid w:val="00557E54"/>
    <w:rsid w:val="00560F82"/>
    <w:rsid w:val="0056173B"/>
    <w:rsid w:val="00561C46"/>
    <w:rsid w:val="00563D67"/>
    <w:rsid w:val="00570A02"/>
    <w:rsid w:val="00571E34"/>
    <w:rsid w:val="005770A7"/>
    <w:rsid w:val="00590608"/>
    <w:rsid w:val="00591306"/>
    <w:rsid w:val="005920A3"/>
    <w:rsid w:val="00594872"/>
    <w:rsid w:val="0059757F"/>
    <w:rsid w:val="005A1C96"/>
    <w:rsid w:val="005A3CE5"/>
    <w:rsid w:val="005A3F3B"/>
    <w:rsid w:val="005A5D24"/>
    <w:rsid w:val="005A71E1"/>
    <w:rsid w:val="005A74AC"/>
    <w:rsid w:val="005A7D58"/>
    <w:rsid w:val="005B16D5"/>
    <w:rsid w:val="005B1D49"/>
    <w:rsid w:val="005B320F"/>
    <w:rsid w:val="005B612D"/>
    <w:rsid w:val="005B62BA"/>
    <w:rsid w:val="005B6EE0"/>
    <w:rsid w:val="005B798F"/>
    <w:rsid w:val="005C16A8"/>
    <w:rsid w:val="005C16F2"/>
    <w:rsid w:val="005C223E"/>
    <w:rsid w:val="005D1326"/>
    <w:rsid w:val="005D3BD7"/>
    <w:rsid w:val="005E0270"/>
    <w:rsid w:val="005E0561"/>
    <w:rsid w:val="005E1878"/>
    <w:rsid w:val="005E32F6"/>
    <w:rsid w:val="005E40E3"/>
    <w:rsid w:val="005E5E52"/>
    <w:rsid w:val="005E672A"/>
    <w:rsid w:val="005E6971"/>
    <w:rsid w:val="005F0B55"/>
    <w:rsid w:val="005F131E"/>
    <w:rsid w:val="005F6036"/>
    <w:rsid w:val="005F6049"/>
    <w:rsid w:val="005F7B14"/>
    <w:rsid w:val="00604B85"/>
    <w:rsid w:val="0061390A"/>
    <w:rsid w:val="00615904"/>
    <w:rsid w:val="0062214B"/>
    <w:rsid w:val="00626ADD"/>
    <w:rsid w:val="00632EB1"/>
    <w:rsid w:val="006365C8"/>
    <w:rsid w:val="006367AD"/>
    <w:rsid w:val="00636E31"/>
    <w:rsid w:val="00641903"/>
    <w:rsid w:val="00645201"/>
    <w:rsid w:val="00657762"/>
    <w:rsid w:val="00657C48"/>
    <w:rsid w:val="00661871"/>
    <w:rsid w:val="00661F5F"/>
    <w:rsid w:val="00666F73"/>
    <w:rsid w:val="00667B18"/>
    <w:rsid w:val="00670BED"/>
    <w:rsid w:val="00673E93"/>
    <w:rsid w:val="0067679B"/>
    <w:rsid w:val="0067696B"/>
    <w:rsid w:val="006853E2"/>
    <w:rsid w:val="006867FD"/>
    <w:rsid w:val="00690BD0"/>
    <w:rsid w:val="00696713"/>
    <w:rsid w:val="006A0DE5"/>
    <w:rsid w:val="006A2172"/>
    <w:rsid w:val="006A4761"/>
    <w:rsid w:val="006B11B1"/>
    <w:rsid w:val="006B331E"/>
    <w:rsid w:val="006B55CD"/>
    <w:rsid w:val="006B7E3F"/>
    <w:rsid w:val="006C24C9"/>
    <w:rsid w:val="006D06C5"/>
    <w:rsid w:val="006D084F"/>
    <w:rsid w:val="006D1FAF"/>
    <w:rsid w:val="006D35E3"/>
    <w:rsid w:val="006D48BB"/>
    <w:rsid w:val="006D58D3"/>
    <w:rsid w:val="006D689F"/>
    <w:rsid w:val="006D6F4E"/>
    <w:rsid w:val="006D7B08"/>
    <w:rsid w:val="006E2DB6"/>
    <w:rsid w:val="006E5801"/>
    <w:rsid w:val="006E6B4E"/>
    <w:rsid w:val="006E6D45"/>
    <w:rsid w:val="006F0DBE"/>
    <w:rsid w:val="006F1738"/>
    <w:rsid w:val="006F7145"/>
    <w:rsid w:val="006F74EB"/>
    <w:rsid w:val="0070380E"/>
    <w:rsid w:val="007049BD"/>
    <w:rsid w:val="0070795C"/>
    <w:rsid w:val="0071033F"/>
    <w:rsid w:val="00710975"/>
    <w:rsid w:val="00712C7C"/>
    <w:rsid w:val="00713667"/>
    <w:rsid w:val="00716801"/>
    <w:rsid w:val="00725764"/>
    <w:rsid w:val="00727A9D"/>
    <w:rsid w:val="00730FF0"/>
    <w:rsid w:val="00732DBF"/>
    <w:rsid w:val="00734AB9"/>
    <w:rsid w:val="0074325B"/>
    <w:rsid w:val="007471FC"/>
    <w:rsid w:val="0075009D"/>
    <w:rsid w:val="00752874"/>
    <w:rsid w:val="00754FB1"/>
    <w:rsid w:val="007642AB"/>
    <w:rsid w:val="007642F9"/>
    <w:rsid w:val="007739E5"/>
    <w:rsid w:val="00775234"/>
    <w:rsid w:val="00775C4E"/>
    <w:rsid w:val="007770B4"/>
    <w:rsid w:val="00780D57"/>
    <w:rsid w:val="007822A2"/>
    <w:rsid w:val="0078397E"/>
    <w:rsid w:val="00783ADE"/>
    <w:rsid w:val="007908AF"/>
    <w:rsid w:val="00796A6B"/>
    <w:rsid w:val="00797FEC"/>
    <w:rsid w:val="007A27F7"/>
    <w:rsid w:val="007A2CE1"/>
    <w:rsid w:val="007A4C24"/>
    <w:rsid w:val="007B0EF2"/>
    <w:rsid w:val="007B1D71"/>
    <w:rsid w:val="007B1F2F"/>
    <w:rsid w:val="007B2C7B"/>
    <w:rsid w:val="007C37D8"/>
    <w:rsid w:val="007C4956"/>
    <w:rsid w:val="007C7725"/>
    <w:rsid w:val="007C7E7D"/>
    <w:rsid w:val="007D1B22"/>
    <w:rsid w:val="007D32A7"/>
    <w:rsid w:val="007D38E5"/>
    <w:rsid w:val="007D4506"/>
    <w:rsid w:val="007D5D5C"/>
    <w:rsid w:val="007E0159"/>
    <w:rsid w:val="007E1236"/>
    <w:rsid w:val="007E262F"/>
    <w:rsid w:val="007E4BD2"/>
    <w:rsid w:val="007E603F"/>
    <w:rsid w:val="007F0D1F"/>
    <w:rsid w:val="007F2928"/>
    <w:rsid w:val="00801820"/>
    <w:rsid w:val="008049E8"/>
    <w:rsid w:val="00805D27"/>
    <w:rsid w:val="0080737B"/>
    <w:rsid w:val="00810B04"/>
    <w:rsid w:val="00817B1B"/>
    <w:rsid w:val="00817BA7"/>
    <w:rsid w:val="0082144E"/>
    <w:rsid w:val="00822872"/>
    <w:rsid w:val="008232B3"/>
    <w:rsid w:val="00826280"/>
    <w:rsid w:val="008263E6"/>
    <w:rsid w:val="00835BB9"/>
    <w:rsid w:val="008419DA"/>
    <w:rsid w:val="00843F14"/>
    <w:rsid w:val="00843FD7"/>
    <w:rsid w:val="00844E6C"/>
    <w:rsid w:val="00846530"/>
    <w:rsid w:val="008523E5"/>
    <w:rsid w:val="00860881"/>
    <w:rsid w:val="0086121E"/>
    <w:rsid w:val="00861B13"/>
    <w:rsid w:val="008634DA"/>
    <w:rsid w:val="00865012"/>
    <w:rsid w:val="008677DC"/>
    <w:rsid w:val="008708F6"/>
    <w:rsid w:val="0087193B"/>
    <w:rsid w:val="00876B04"/>
    <w:rsid w:val="00882377"/>
    <w:rsid w:val="008828FA"/>
    <w:rsid w:val="00883FB8"/>
    <w:rsid w:val="00884570"/>
    <w:rsid w:val="00884D3D"/>
    <w:rsid w:val="008852B2"/>
    <w:rsid w:val="008857C4"/>
    <w:rsid w:val="00886265"/>
    <w:rsid w:val="00891617"/>
    <w:rsid w:val="00893100"/>
    <w:rsid w:val="00897948"/>
    <w:rsid w:val="008A2A9F"/>
    <w:rsid w:val="008A30F5"/>
    <w:rsid w:val="008A545B"/>
    <w:rsid w:val="008B0F86"/>
    <w:rsid w:val="008B2415"/>
    <w:rsid w:val="008B3C8A"/>
    <w:rsid w:val="008B5EA6"/>
    <w:rsid w:val="008B6309"/>
    <w:rsid w:val="008C13C0"/>
    <w:rsid w:val="008C2922"/>
    <w:rsid w:val="008C5533"/>
    <w:rsid w:val="008C5ABA"/>
    <w:rsid w:val="008D3B20"/>
    <w:rsid w:val="008D577D"/>
    <w:rsid w:val="008D79E2"/>
    <w:rsid w:val="008E29C9"/>
    <w:rsid w:val="008E486E"/>
    <w:rsid w:val="008E539C"/>
    <w:rsid w:val="008E5566"/>
    <w:rsid w:val="008E77DA"/>
    <w:rsid w:val="008F3A6E"/>
    <w:rsid w:val="008F41CB"/>
    <w:rsid w:val="008F49DF"/>
    <w:rsid w:val="008F7FAA"/>
    <w:rsid w:val="00901C9C"/>
    <w:rsid w:val="009034CF"/>
    <w:rsid w:val="00912E1F"/>
    <w:rsid w:val="00916AEA"/>
    <w:rsid w:val="00916CF5"/>
    <w:rsid w:val="00923244"/>
    <w:rsid w:val="00923506"/>
    <w:rsid w:val="00930002"/>
    <w:rsid w:val="00931E77"/>
    <w:rsid w:val="00933213"/>
    <w:rsid w:val="00935A6B"/>
    <w:rsid w:val="00937C47"/>
    <w:rsid w:val="00937CF4"/>
    <w:rsid w:val="00940043"/>
    <w:rsid w:val="00945C24"/>
    <w:rsid w:val="00947C7D"/>
    <w:rsid w:val="00950281"/>
    <w:rsid w:val="00952045"/>
    <w:rsid w:val="00954410"/>
    <w:rsid w:val="00955E0E"/>
    <w:rsid w:val="00956148"/>
    <w:rsid w:val="00960D66"/>
    <w:rsid w:val="009622A3"/>
    <w:rsid w:val="00962403"/>
    <w:rsid w:val="00965FCC"/>
    <w:rsid w:val="00967DDE"/>
    <w:rsid w:val="009724FF"/>
    <w:rsid w:val="009758A7"/>
    <w:rsid w:val="00976E4F"/>
    <w:rsid w:val="0097781B"/>
    <w:rsid w:val="00980E3D"/>
    <w:rsid w:val="009912A8"/>
    <w:rsid w:val="009A2711"/>
    <w:rsid w:val="009A294F"/>
    <w:rsid w:val="009A2B50"/>
    <w:rsid w:val="009A3B3B"/>
    <w:rsid w:val="009A7BBC"/>
    <w:rsid w:val="009B727A"/>
    <w:rsid w:val="009C027F"/>
    <w:rsid w:val="009C0543"/>
    <w:rsid w:val="009C444A"/>
    <w:rsid w:val="009C7679"/>
    <w:rsid w:val="009D4444"/>
    <w:rsid w:val="009D75CF"/>
    <w:rsid w:val="009E0C0B"/>
    <w:rsid w:val="009E1230"/>
    <w:rsid w:val="009E289A"/>
    <w:rsid w:val="009E5FB1"/>
    <w:rsid w:val="009E6299"/>
    <w:rsid w:val="009E6516"/>
    <w:rsid w:val="009F38DF"/>
    <w:rsid w:val="009F3F47"/>
    <w:rsid w:val="009F5C17"/>
    <w:rsid w:val="009F6AE5"/>
    <w:rsid w:val="00A01C2C"/>
    <w:rsid w:val="00A1165B"/>
    <w:rsid w:val="00A21837"/>
    <w:rsid w:val="00A21CEC"/>
    <w:rsid w:val="00A2228B"/>
    <w:rsid w:val="00A27839"/>
    <w:rsid w:val="00A27B01"/>
    <w:rsid w:val="00A320E0"/>
    <w:rsid w:val="00A3240D"/>
    <w:rsid w:val="00A33F02"/>
    <w:rsid w:val="00A3400D"/>
    <w:rsid w:val="00A40D4E"/>
    <w:rsid w:val="00A44B41"/>
    <w:rsid w:val="00A44F32"/>
    <w:rsid w:val="00A53FFE"/>
    <w:rsid w:val="00A54AF5"/>
    <w:rsid w:val="00A614BA"/>
    <w:rsid w:val="00A64AA6"/>
    <w:rsid w:val="00A678B6"/>
    <w:rsid w:val="00A724A6"/>
    <w:rsid w:val="00A73193"/>
    <w:rsid w:val="00A7470F"/>
    <w:rsid w:val="00A77BAB"/>
    <w:rsid w:val="00A800BE"/>
    <w:rsid w:val="00A83493"/>
    <w:rsid w:val="00A85C61"/>
    <w:rsid w:val="00A85F2B"/>
    <w:rsid w:val="00A8636E"/>
    <w:rsid w:val="00A93FBB"/>
    <w:rsid w:val="00A940D7"/>
    <w:rsid w:val="00A9620B"/>
    <w:rsid w:val="00AA1355"/>
    <w:rsid w:val="00AA2D07"/>
    <w:rsid w:val="00AB1532"/>
    <w:rsid w:val="00AB1FDB"/>
    <w:rsid w:val="00AB3C07"/>
    <w:rsid w:val="00AB7013"/>
    <w:rsid w:val="00AC15A2"/>
    <w:rsid w:val="00AC1F16"/>
    <w:rsid w:val="00AC353F"/>
    <w:rsid w:val="00AC45B9"/>
    <w:rsid w:val="00AC4C47"/>
    <w:rsid w:val="00AC6B62"/>
    <w:rsid w:val="00AC6C61"/>
    <w:rsid w:val="00AD11EA"/>
    <w:rsid w:val="00AD7310"/>
    <w:rsid w:val="00AE31FC"/>
    <w:rsid w:val="00AE728B"/>
    <w:rsid w:val="00AF0A68"/>
    <w:rsid w:val="00B00D43"/>
    <w:rsid w:val="00B0657B"/>
    <w:rsid w:val="00B10DF1"/>
    <w:rsid w:val="00B12EF9"/>
    <w:rsid w:val="00B147A1"/>
    <w:rsid w:val="00B17A43"/>
    <w:rsid w:val="00B24903"/>
    <w:rsid w:val="00B3307A"/>
    <w:rsid w:val="00B428B7"/>
    <w:rsid w:val="00B457EF"/>
    <w:rsid w:val="00B45A2C"/>
    <w:rsid w:val="00B4667A"/>
    <w:rsid w:val="00B50991"/>
    <w:rsid w:val="00B51D1D"/>
    <w:rsid w:val="00B52B36"/>
    <w:rsid w:val="00B55939"/>
    <w:rsid w:val="00B57F83"/>
    <w:rsid w:val="00B60B57"/>
    <w:rsid w:val="00B61FD4"/>
    <w:rsid w:val="00B664C2"/>
    <w:rsid w:val="00B745F8"/>
    <w:rsid w:val="00B80CDC"/>
    <w:rsid w:val="00B81745"/>
    <w:rsid w:val="00B83A4F"/>
    <w:rsid w:val="00B86447"/>
    <w:rsid w:val="00B910C8"/>
    <w:rsid w:val="00B9134A"/>
    <w:rsid w:val="00B91592"/>
    <w:rsid w:val="00BA0D43"/>
    <w:rsid w:val="00BA3AB6"/>
    <w:rsid w:val="00BA5333"/>
    <w:rsid w:val="00BA777C"/>
    <w:rsid w:val="00BB3FE6"/>
    <w:rsid w:val="00BB58D3"/>
    <w:rsid w:val="00BB5FBF"/>
    <w:rsid w:val="00BB67AD"/>
    <w:rsid w:val="00BC4ADC"/>
    <w:rsid w:val="00BC4BBE"/>
    <w:rsid w:val="00BC535C"/>
    <w:rsid w:val="00BD38B4"/>
    <w:rsid w:val="00BE043C"/>
    <w:rsid w:val="00BE056F"/>
    <w:rsid w:val="00BE1B18"/>
    <w:rsid w:val="00BE2177"/>
    <w:rsid w:val="00BE234E"/>
    <w:rsid w:val="00BE7982"/>
    <w:rsid w:val="00BE7CFE"/>
    <w:rsid w:val="00BF10FB"/>
    <w:rsid w:val="00BF20DE"/>
    <w:rsid w:val="00C0138D"/>
    <w:rsid w:val="00C02039"/>
    <w:rsid w:val="00C030CB"/>
    <w:rsid w:val="00C06348"/>
    <w:rsid w:val="00C07304"/>
    <w:rsid w:val="00C07C55"/>
    <w:rsid w:val="00C1096F"/>
    <w:rsid w:val="00C137F7"/>
    <w:rsid w:val="00C17689"/>
    <w:rsid w:val="00C23022"/>
    <w:rsid w:val="00C25DEA"/>
    <w:rsid w:val="00C27DD2"/>
    <w:rsid w:val="00C3127F"/>
    <w:rsid w:val="00C31706"/>
    <w:rsid w:val="00C3171B"/>
    <w:rsid w:val="00C3369C"/>
    <w:rsid w:val="00C35C3D"/>
    <w:rsid w:val="00C37D11"/>
    <w:rsid w:val="00C42F6C"/>
    <w:rsid w:val="00C43AB8"/>
    <w:rsid w:val="00C45BAF"/>
    <w:rsid w:val="00C474B1"/>
    <w:rsid w:val="00C476CE"/>
    <w:rsid w:val="00C5348F"/>
    <w:rsid w:val="00C55E16"/>
    <w:rsid w:val="00C64AAA"/>
    <w:rsid w:val="00C66580"/>
    <w:rsid w:val="00C6663C"/>
    <w:rsid w:val="00C67FF4"/>
    <w:rsid w:val="00C72B4A"/>
    <w:rsid w:val="00C73155"/>
    <w:rsid w:val="00C74148"/>
    <w:rsid w:val="00C74D53"/>
    <w:rsid w:val="00C816CB"/>
    <w:rsid w:val="00C860CA"/>
    <w:rsid w:val="00C92167"/>
    <w:rsid w:val="00C94CA8"/>
    <w:rsid w:val="00C96471"/>
    <w:rsid w:val="00C9660C"/>
    <w:rsid w:val="00CA0B10"/>
    <w:rsid w:val="00CA2D9B"/>
    <w:rsid w:val="00CA48B9"/>
    <w:rsid w:val="00CA49F5"/>
    <w:rsid w:val="00CA4E53"/>
    <w:rsid w:val="00CA5D00"/>
    <w:rsid w:val="00CA5E8F"/>
    <w:rsid w:val="00CB4F3C"/>
    <w:rsid w:val="00CB5134"/>
    <w:rsid w:val="00CC11D8"/>
    <w:rsid w:val="00CC1D44"/>
    <w:rsid w:val="00CC2DD9"/>
    <w:rsid w:val="00CC6C16"/>
    <w:rsid w:val="00CD0385"/>
    <w:rsid w:val="00CD0D72"/>
    <w:rsid w:val="00CD1E44"/>
    <w:rsid w:val="00CD31B1"/>
    <w:rsid w:val="00CD7A21"/>
    <w:rsid w:val="00CD7A91"/>
    <w:rsid w:val="00CD7B43"/>
    <w:rsid w:val="00CD7EA4"/>
    <w:rsid w:val="00CE1717"/>
    <w:rsid w:val="00CE47DB"/>
    <w:rsid w:val="00CE5BB6"/>
    <w:rsid w:val="00CE6C2F"/>
    <w:rsid w:val="00D00455"/>
    <w:rsid w:val="00D00761"/>
    <w:rsid w:val="00D014AF"/>
    <w:rsid w:val="00D05C9E"/>
    <w:rsid w:val="00D14550"/>
    <w:rsid w:val="00D16FC8"/>
    <w:rsid w:val="00D21E93"/>
    <w:rsid w:val="00D239D8"/>
    <w:rsid w:val="00D26210"/>
    <w:rsid w:val="00D26526"/>
    <w:rsid w:val="00D26F85"/>
    <w:rsid w:val="00D272A6"/>
    <w:rsid w:val="00D50962"/>
    <w:rsid w:val="00D51747"/>
    <w:rsid w:val="00D51759"/>
    <w:rsid w:val="00D52A53"/>
    <w:rsid w:val="00D544C7"/>
    <w:rsid w:val="00D57794"/>
    <w:rsid w:val="00D60EB3"/>
    <w:rsid w:val="00D6276A"/>
    <w:rsid w:val="00D63717"/>
    <w:rsid w:val="00D63BE0"/>
    <w:rsid w:val="00D70477"/>
    <w:rsid w:val="00D730CB"/>
    <w:rsid w:val="00D7797B"/>
    <w:rsid w:val="00D84B13"/>
    <w:rsid w:val="00D8508B"/>
    <w:rsid w:val="00D85FE0"/>
    <w:rsid w:val="00D86F13"/>
    <w:rsid w:val="00D93DC3"/>
    <w:rsid w:val="00D9590C"/>
    <w:rsid w:val="00D971FA"/>
    <w:rsid w:val="00D97499"/>
    <w:rsid w:val="00D97818"/>
    <w:rsid w:val="00DA35A6"/>
    <w:rsid w:val="00DA4CE7"/>
    <w:rsid w:val="00DA59C5"/>
    <w:rsid w:val="00DA7EDF"/>
    <w:rsid w:val="00DB3913"/>
    <w:rsid w:val="00DB3B7C"/>
    <w:rsid w:val="00DB4329"/>
    <w:rsid w:val="00DB4D6E"/>
    <w:rsid w:val="00DC050C"/>
    <w:rsid w:val="00DD3A00"/>
    <w:rsid w:val="00DD45E7"/>
    <w:rsid w:val="00DD72F1"/>
    <w:rsid w:val="00DD7695"/>
    <w:rsid w:val="00DD7E4E"/>
    <w:rsid w:val="00DF0F55"/>
    <w:rsid w:val="00DF1A06"/>
    <w:rsid w:val="00E00E49"/>
    <w:rsid w:val="00E0150F"/>
    <w:rsid w:val="00E0376A"/>
    <w:rsid w:val="00E04EC2"/>
    <w:rsid w:val="00E05232"/>
    <w:rsid w:val="00E05746"/>
    <w:rsid w:val="00E128A5"/>
    <w:rsid w:val="00E13B4E"/>
    <w:rsid w:val="00E15DA7"/>
    <w:rsid w:val="00E22130"/>
    <w:rsid w:val="00E30962"/>
    <w:rsid w:val="00E31F25"/>
    <w:rsid w:val="00E32C08"/>
    <w:rsid w:val="00E338DF"/>
    <w:rsid w:val="00E3453C"/>
    <w:rsid w:val="00E34D8B"/>
    <w:rsid w:val="00E42F09"/>
    <w:rsid w:val="00E45A9F"/>
    <w:rsid w:val="00E469B9"/>
    <w:rsid w:val="00E528BF"/>
    <w:rsid w:val="00E566E0"/>
    <w:rsid w:val="00E622EF"/>
    <w:rsid w:val="00E63BE6"/>
    <w:rsid w:val="00E645BE"/>
    <w:rsid w:val="00E64926"/>
    <w:rsid w:val="00E661E4"/>
    <w:rsid w:val="00E66C1F"/>
    <w:rsid w:val="00E707BF"/>
    <w:rsid w:val="00E707CE"/>
    <w:rsid w:val="00E715D3"/>
    <w:rsid w:val="00E71C2F"/>
    <w:rsid w:val="00E733FB"/>
    <w:rsid w:val="00E7472B"/>
    <w:rsid w:val="00E75082"/>
    <w:rsid w:val="00E84560"/>
    <w:rsid w:val="00E95CF1"/>
    <w:rsid w:val="00EA1AAE"/>
    <w:rsid w:val="00EA1B87"/>
    <w:rsid w:val="00EA1EB8"/>
    <w:rsid w:val="00EA4631"/>
    <w:rsid w:val="00EA4C09"/>
    <w:rsid w:val="00EA5E7E"/>
    <w:rsid w:val="00EA7848"/>
    <w:rsid w:val="00EB22DD"/>
    <w:rsid w:val="00EB2CD0"/>
    <w:rsid w:val="00EB4F5E"/>
    <w:rsid w:val="00EB520F"/>
    <w:rsid w:val="00EB54AD"/>
    <w:rsid w:val="00EB5544"/>
    <w:rsid w:val="00EB60BC"/>
    <w:rsid w:val="00EC7014"/>
    <w:rsid w:val="00EC7079"/>
    <w:rsid w:val="00ED1B2F"/>
    <w:rsid w:val="00ED23B8"/>
    <w:rsid w:val="00EE0009"/>
    <w:rsid w:val="00EE0E3D"/>
    <w:rsid w:val="00EE1D0F"/>
    <w:rsid w:val="00EE2571"/>
    <w:rsid w:val="00EE52B2"/>
    <w:rsid w:val="00EE7A4D"/>
    <w:rsid w:val="00EF4FB3"/>
    <w:rsid w:val="00EF6AEA"/>
    <w:rsid w:val="00F00AB4"/>
    <w:rsid w:val="00F00E77"/>
    <w:rsid w:val="00F01B69"/>
    <w:rsid w:val="00F05B44"/>
    <w:rsid w:val="00F07059"/>
    <w:rsid w:val="00F07762"/>
    <w:rsid w:val="00F102D0"/>
    <w:rsid w:val="00F11FDB"/>
    <w:rsid w:val="00F1208F"/>
    <w:rsid w:val="00F1318F"/>
    <w:rsid w:val="00F149CA"/>
    <w:rsid w:val="00F15D45"/>
    <w:rsid w:val="00F16847"/>
    <w:rsid w:val="00F1692D"/>
    <w:rsid w:val="00F16D3B"/>
    <w:rsid w:val="00F22C62"/>
    <w:rsid w:val="00F24784"/>
    <w:rsid w:val="00F2569E"/>
    <w:rsid w:val="00F27FD0"/>
    <w:rsid w:val="00F320C6"/>
    <w:rsid w:val="00F35881"/>
    <w:rsid w:val="00F457D9"/>
    <w:rsid w:val="00F53132"/>
    <w:rsid w:val="00F55CD3"/>
    <w:rsid w:val="00F60721"/>
    <w:rsid w:val="00F61973"/>
    <w:rsid w:val="00F63375"/>
    <w:rsid w:val="00F634DF"/>
    <w:rsid w:val="00F63FB7"/>
    <w:rsid w:val="00F66465"/>
    <w:rsid w:val="00F72AD6"/>
    <w:rsid w:val="00F742C9"/>
    <w:rsid w:val="00F80422"/>
    <w:rsid w:val="00F841C0"/>
    <w:rsid w:val="00F87F64"/>
    <w:rsid w:val="00FA13BE"/>
    <w:rsid w:val="00FA1460"/>
    <w:rsid w:val="00FA2451"/>
    <w:rsid w:val="00FA6A11"/>
    <w:rsid w:val="00FB0E59"/>
    <w:rsid w:val="00FB2E4F"/>
    <w:rsid w:val="00FB3918"/>
    <w:rsid w:val="00FB5E4F"/>
    <w:rsid w:val="00FC0C4F"/>
    <w:rsid w:val="00FC18F7"/>
    <w:rsid w:val="00FC3218"/>
    <w:rsid w:val="00FC4901"/>
    <w:rsid w:val="00FC65C8"/>
    <w:rsid w:val="00FC748D"/>
    <w:rsid w:val="00FD1D21"/>
    <w:rsid w:val="00FD2EC9"/>
    <w:rsid w:val="00FD3376"/>
    <w:rsid w:val="00FD7106"/>
    <w:rsid w:val="00FE793B"/>
    <w:rsid w:val="00FF0EAB"/>
    <w:rsid w:val="00FF1B36"/>
    <w:rsid w:val="00FF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36EE20-F58B-4F23-ACAD-95D97B68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91"/>
    <w:pPr>
      <w:spacing w:after="0" w:line="240" w:lineRule="auto"/>
      <w:ind w:firstLine="720"/>
    </w:pPr>
    <w:rPr>
      <w:rFonts w:ascii="Times New Roman" w:hAnsi="Times New Roman"/>
    </w:rPr>
  </w:style>
  <w:style w:type="paragraph" w:styleId="Heading1">
    <w:name w:val="heading 1"/>
    <w:basedOn w:val="Normal"/>
    <w:next w:val="Normal"/>
    <w:link w:val="Heading1Char"/>
    <w:uiPriority w:val="9"/>
    <w:qFormat/>
    <w:rsid w:val="004F2E7B"/>
    <w:pPr>
      <w:keepNext/>
      <w:keepLines/>
      <w:spacing w:before="240"/>
      <w:ind w:firstLine="0"/>
      <w:outlineLvl w:val="0"/>
    </w:pPr>
    <w:rPr>
      <w:rFonts w:eastAsiaTheme="majorEastAsia" w:cs="Times New Roman"/>
      <w:b/>
      <w:caps/>
      <w:sz w:val="28"/>
      <w:szCs w:val="28"/>
    </w:rPr>
  </w:style>
  <w:style w:type="paragraph" w:styleId="Heading2">
    <w:name w:val="heading 2"/>
    <w:basedOn w:val="Normal"/>
    <w:next w:val="Normal"/>
    <w:link w:val="Heading2Char"/>
    <w:uiPriority w:val="9"/>
    <w:unhideWhenUsed/>
    <w:qFormat/>
    <w:rsid w:val="004F2E7B"/>
    <w:pPr>
      <w:keepNext/>
      <w:keepLines/>
      <w:spacing w:before="240"/>
      <w:ind w:firstLine="0"/>
      <w:outlineLvl w:val="1"/>
    </w:pPr>
    <w:rPr>
      <w:rFonts w:eastAsiaTheme="majorEastAsia"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E7B"/>
    <w:rPr>
      <w:rFonts w:ascii="Times New Roman" w:eastAsiaTheme="majorEastAsia" w:hAnsi="Times New Roman" w:cs="Times New Roman"/>
      <w:b/>
      <w:caps/>
      <w:sz w:val="28"/>
      <w:szCs w:val="28"/>
    </w:rPr>
  </w:style>
  <w:style w:type="paragraph" w:styleId="Caption">
    <w:name w:val="caption"/>
    <w:basedOn w:val="Normal"/>
    <w:next w:val="Normal"/>
    <w:uiPriority w:val="35"/>
    <w:unhideWhenUsed/>
    <w:qFormat/>
    <w:rsid w:val="00200A92"/>
    <w:pPr>
      <w:spacing w:after="200"/>
      <w:ind w:firstLine="0"/>
      <w:contextualSpacing/>
    </w:pPr>
    <w:rPr>
      <w:b/>
      <w:iCs/>
      <w:sz w:val="20"/>
      <w:szCs w:val="20"/>
    </w:rPr>
  </w:style>
  <w:style w:type="paragraph" w:styleId="ListParagraph">
    <w:name w:val="List Paragraph"/>
    <w:basedOn w:val="Normal"/>
    <w:uiPriority w:val="34"/>
    <w:qFormat/>
    <w:rsid w:val="0097781B"/>
    <w:pPr>
      <w:widowControl w:val="0"/>
      <w:ind w:firstLine="0"/>
      <w:contextualSpacing/>
    </w:pPr>
    <w:rPr>
      <w:rFonts w:eastAsia="Calibri" w:cs="Calibri"/>
      <w:color w:val="000000"/>
    </w:rPr>
  </w:style>
  <w:style w:type="character" w:customStyle="1" w:styleId="Heading2Char">
    <w:name w:val="Heading 2 Char"/>
    <w:basedOn w:val="DefaultParagraphFont"/>
    <w:link w:val="Heading2"/>
    <w:uiPriority w:val="9"/>
    <w:rsid w:val="004F2E7B"/>
    <w:rPr>
      <w:rFonts w:ascii="Times New Roman" w:eastAsiaTheme="majorEastAsia" w:hAnsi="Times New Roman" w:cs="Times New Roman"/>
      <w:b/>
      <w:sz w:val="26"/>
      <w:szCs w:val="26"/>
    </w:rPr>
  </w:style>
  <w:style w:type="paragraph" w:customStyle="1" w:styleId="Default">
    <w:name w:val="Default"/>
    <w:rsid w:val="00817B1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26280"/>
    <w:pPr>
      <w:tabs>
        <w:tab w:val="center" w:pos="4680"/>
        <w:tab w:val="right" w:pos="9360"/>
      </w:tabs>
    </w:pPr>
  </w:style>
  <w:style w:type="character" w:customStyle="1" w:styleId="HeaderChar">
    <w:name w:val="Header Char"/>
    <w:basedOn w:val="DefaultParagraphFont"/>
    <w:link w:val="Header"/>
    <w:uiPriority w:val="99"/>
    <w:rsid w:val="00826280"/>
    <w:rPr>
      <w:rFonts w:ascii="Times New Roman" w:hAnsi="Times New Roman"/>
    </w:rPr>
  </w:style>
  <w:style w:type="paragraph" w:styleId="Footer">
    <w:name w:val="footer"/>
    <w:basedOn w:val="Normal"/>
    <w:link w:val="FooterChar"/>
    <w:uiPriority w:val="99"/>
    <w:unhideWhenUsed/>
    <w:rsid w:val="00826280"/>
    <w:pPr>
      <w:tabs>
        <w:tab w:val="center" w:pos="4680"/>
        <w:tab w:val="right" w:pos="9360"/>
      </w:tabs>
    </w:pPr>
  </w:style>
  <w:style w:type="character" w:customStyle="1" w:styleId="FooterChar">
    <w:name w:val="Footer Char"/>
    <w:basedOn w:val="DefaultParagraphFont"/>
    <w:link w:val="Footer"/>
    <w:uiPriority w:val="99"/>
    <w:rsid w:val="00826280"/>
    <w:rPr>
      <w:rFonts w:ascii="Times New Roman" w:hAnsi="Times New Roman"/>
    </w:rPr>
  </w:style>
  <w:style w:type="character" w:styleId="LineNumber">
    <w:name w:val="line number"/>
    <w:basedOn w:val="DefaultParagraphFont"/>
    <w:uiPriority w:val="99"/>
    <w:semiHidden/>
    <w:unhideWhenUsed/>
    <w:rsid w:val="00826280"/>
  </w:style>
  <w:style w:type="character" w:styleId="Strong">
    <w:name w:val="Strong"/>
    <w:basedOn w:val="DefaultParagraphFont"/>
    <w:uiPriority w:val="22"/>
    <w:qFormat/>
    <w:rsid w:val="00CC1D44"/>
    <w:rPr>
      <w:b/>
      <w:bCs/>
    </w:rPr>
  </w:style>
  <w:style w:type="paragraph" w:customStyle="1" w:styleId="Pa6">
    <w:name w:val="Pa6"/>
    <w:basedOn w:val="Default"/>
    <w:next w:val="Default"/>
    <w:uiPriority w:val="99"/>
    <w:rsid w:val="000A6878"/>
    <w:pPr>
      <w:spacing w:line="161" w:lineRule="atLeast"/>
    </w:pPr>
    <w:rPr>
      <w:rFonts w:ascii="Arial" w:hAnsi="Arial" w:cs="Arial"/>
      <w:color w:val="auto"/>
    </w:rPr>
  </w:style>
  <w:style w:type="paragraph" w:customStyle="1" w:styleId="NormalAfterSubhead">
    <w:name w:val="Normal After Subhead"/>
    <w:basedOn w:val="Normal"/>
    <w:qFormat/>
    <w:rsid w:val="00CD7A91"/>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568267">
      <w:bodyDiv w:val="1"/>
      <w:marLeft w:val="0"/>
      <w:marRight w:val="0"/>
      <w:marTop w:val="0"/>
      <w:marBottom w:val="0"/>
      <w:divBdr>
        <w:top w:val="none" w:sz="0" w:space="0" w:color="auto"/>
        <w:left w:val="none" w:sz="0" w:space="0" w:color="auto"/>
        <w:bottom w:val="none" w:sz="0" w:space="0" w:color="auto"/>
        <w:right w:val="none" w:sz="0" w:space="0" w:color="auto"/>
      </w:divBdr>
      <w:divsChild>
        <w:div w:id="1244143564">
          <w:marLeft w:val="0"/>
          <w:marRight w:val="0"/>
          <w:marTop w:val="0"/>
          <w:marBottom w:val="0"/>
          <w:divBdr>
            <w:top w:val="none" w:sz="0" w:space="0" w:color="auto"/>
            <w:left w:val="none" w:sz="0" w:space="0" w:color="auto"/>
            <w:bottom w:val="none" w:sz="0" w:space="0" w:color="auto"/>
            <w:right w:val="none" w:sz="0" w:space="0" w:color="auto"/>
          </w:divBdr>
        </w:div>
        <w:div w:id="1741096175">
          <w:marLeft w:val="0"/>
          <w:marRight w:val="0"/>
          <w:marTop w:val="0"/>
          <w:marBottom w:val="0"/>
          <w:divBdr>
            <w:top w:val="none" w:sz="0" w:space="0" w:color="auto"/>
            <w:left w:val="none" w:sz="0" w:space="0" w:color="auto"/>
            <w:bottom w:val="none" w:sz="0" w:space="0" w:color="auto"/>
            <w:right w:val="none" w:sz="0" w:space="0" w:color="auto"/>
          </w:divBdr>
        </w:div>
        <w:div w:id="1346395473">
          <w:marLeft w:val="0"/>
          <w:marRight w:val="0"/>
          <w:marTop w:val="0"/>
          <w:marBottom w:val="0"/>
          <w:divBdr>
            <w:top w:val="none" w:sz="0" w:space="0" w:color="auto"/>
            <w:left w:val="none" w:sz="0" w:space="0" w:color="auto"/>
            <w:bottom w:val="none" w:sz="0" w:space="0" w:color="auto"/>
            <w:right w:val="none" w:sz="0" w:space="0" w:color="auto"/>
          </w:divBdr>
        </w:div>
        <w:div w:id="208228660">
          <w:marLeft w:val="0"/>
          <w:marRight w:val="0"/>
          <w:marTop w:val="0"/>
          <w:marBottom w:val="0"/>
          <w:divBdr>
            <w:top w:val="none" w:sz="0" w:space="0" w:color="auto"/>
            <w:left w:val="none" w:sz="0" w:space="0" w:color="auto"/>
            <w:bottom w:val="none" w:sz="0" w:space="0" w:color="auto"/>
            <w:right w:val="none" w:sz="0" w:space="0" w:color="auto"/>
          </w:divBdr>
        </w:div>
      </w:divsChild>
    </w:div>
    <w:div w:id="1318261778">
      <w:bodyDiv w:val="1"/>
      <w:marLeft w:val="0"/>
      <w:marRight w:val="0"/>
      <w:marTop w:val="0"/>
      <w:marBottom w:val="0"/>
      <w:divBdr>
        <w:top w:val="none" w:sz="0" w:space="0" w:color="auto"/>
        <w:left w:val="none" w:sz="0" w:space="0" w:color="auto"/>
        <w:bottom w:val="none" w:sz="0" w:space="0" w:color="auto"/>
        <w:right w:val="none" w:sz="0" w:space="0" w:color="auto"/>
      </w:divBdr>
    </w:div>
    <w:div w:id="1526627537">
      <w:bodyDiv w:val="1"/>
      <w:marLeft w:val="0"/>
      <w:marRight w:val="0"/>
      <w:marTop w:val="0"/>
      <w:marBottom w:val="0"/>
      <w:divBdr>
        <w:top w:val="none" w:sz="0" w:space="0" w:color="auto"/>
        <w:left w:val="none" w:sz="0" w:space="0" w:color="auto"/>
        <w:bottom w:val="none" w:sz="0" w:space="0" w:color="auto"/>
        <w:right w:val="none" w:sz="0" w:space="0" w:color="auto"/>
      </w:divBdr>
    </w:div>
    <w:div w:id="2025856528">
      <w:bodyDiv w:val="1"/>
      <w:marLeft w:val="0"/>
      <w:marRight w:val="0"/>
      <w:marTop w:val="0"/>
      <w:marBottom w:val="0"/>
      <w:divBdr>
        <w:top w:val="none" w:sz="0" w:space="0" w:color="auto"/>
        <w:left w:val="none" w:sz="0" w:space="0" w:color="auto"/>
        <w:bottom w:val="none" w:sz="0" w:space="0" w:color="auto"/>
        <w:right w:val="none" w:sz="0" w:space="0" w:color="auto"/>
      </w:divBdr>
      <w:divsChild>
        <w:div w:id="821434496">
          <w:marLeft w:val="0"/>
          <w:marRight w:val="0"/>
          <w:marTop w:val="0"/>
          <w:marBottom w:val="0"/>
          <w:divBdr>
            <w:top w:val="none" w:sz="0" w:space="0" w:color="auto"/>
            <w:left w:val="none" w:sz="0" w:space="0" w:color="auto"/>
            <w:bottom w:val="none" w:sz="0" w:space="0" w:color="auto"/>
            <w:right w:val="none" w:sz="0" w:space="0" w:color="auto"/>
          </w:divBdr>
        </w:div>
        <w:div w:id="123934420">
          <w:marLeft w:val="0"/>
          <w:marRight w:val="0"/>
          <w:marTop w:val="0"/>
          <w:marBottom w:val="0"/>
          <w:divBdr>
            <w:top w:val="none" w:sz="0" w:space="0" w:color="auto"/>
            <w:left w:val="none" w:sz="0" w:space="0" w:color="auto"/>
            <w:bottom w:val="none" w:sz="0" w:space="0" w:color="auto"/>
            <w:right w:val="none" w:sz="0" w:space="0" w:color="auto"/>
          </w:divBdr>
        </w:div>
        <w:div w:id="1268932022">
          <w:marLeft w:val="0"/>
          <w:marRight w:val="0"/>
          <w:marTop w:val="0"/>
          <w:marBottom w:val="0"/>
          <w:divBdr>
            <w:top w:val="none" w:sz="0" w:space="0" w:color="auto"/>
            <w:left w:val="none" w:sz="0" w:space="0" w:color="auto"/>
            <w:bottom w:val="none" w:sz="0" w:space="0" w:color="auto"/>
            <w:right w:val="none" w:sz="0" w:space="0" w:color="auto"/>
          </w:divBdr>
        </w:div>
        <w:div w:id="932007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taprojects.net/docs/alta_whitepaper.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99B8F-4C41-47EF-87C8-D1C79C42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Williams</dc:creator>
  <cp:keywords/>
  <dc:description/>
  <cp:lastModifiedBy>Michael Williams</cp:lastModifiedBy>
  <cp:revision>2</cp:revision>
  <dcterms:created xsi:type="dcterms:W3CDTF">2018-04-24T23:54:00Z</dcterms:created>
  <dcterms:modified xsi:type="dcterms:W3CDTF">2018-04-24T23:54:00Z</dcterms:modified>
</cp:coreProperties>
</file>